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5870F" w14:textId="6EB1B0A6" w:rsidR="00DF4501" w:rsidRDefault="00E92C9A" w:rsidP="00E82191">
      <w:pPr>
        <w:pStyle w:val="Heading2"/>
      </w:pPr>
      <w:r>
        <w:t xml:space="preserve">productionManager: </w:t>
      </w:r>
      <w:r w:rsidR="00A67E7A">
        <w:t>Lot generation</w:t>
      </w:r>
      <w:r>
        <w:t xml:space="preserve"> at the click of a button!</w:t>
      </w:r>
    </w:p>
    <w:p w14:paraId="0F51901D" w14:textId="3702DF78" w:rsidR="0066716B" w:rsidRPr="007B0B04" w:rsidRDefault="00DC4A77" w:rsidP="00C45AD8">
      <w:pPr>
        <w:pStyle w:val="Heading1"/>
      </w:pPr>
      <w:r>
        <w:t xml:space="preserve">Ready, set, form your </w:t>
      </w:r>
      <w:r w:rsidR="00A67E7A">
        <w:t>lots</w:t>
      </w:r>
      <w:r>
        <w:t>!</w:t>
      </w:r>
    </w:p>
    <w:p w14:paraId="719CB521" w14:textId="366D6328" w:rsidR="00B53E7B" w:rsidRDefault="00B53E7B" w:rsidP="6DD2B47F">
      <w:pPr>
        <w:rPr>
          <w:b/>
          <w:bCs/>
        </w:rPr>
      </w:pPr>
      <w:r>
        <w:rPr>
          <w:b/>
        </w:rPr>
        <w:t xml:space="preserve">Managing individual </w:t>
      </w:r>
      <w:r w:rsidR="00A67E7A">
        <w:rPr>
          <w:b/>
        </w:rPr>
        <w:t>orders</w:t>
      </w:r>
      <w:r>
        <w:rPr>
          <w:b/>
        </w:rPr>
        <w:t xml:space="preserve"> clearly and easily in productionManager — no problem! The brand-new </w:t>
      </w:r>
      <w:r w:rsidR="00A67E7A">
        <w:rPr>
          <w:b/>
        </w:rPr>
        <w:t>lot generation</w:t>
      </w:r>
      <w:r>
        <w:rPr>
          <w:b/>
        </w:rPr>
        <w:t xml:space="preserve"> function now offers a further benefit: from now on, you can easily combine your </w:t>
      </w:r>
      <w:r w:rsidR="00A67E7A">
        <w:rPr>
          <w:b/>
        </w:rPr>
        <w:t>orders</w:t>
      </w:r>
      <w:r>
        <w:rPr>
          <w:b/>
        </w:rPr>
        <w:t xml:space="preserve"> into production </w:t>
      </w:r>
      <w:r w:rsidR="00A67E7A">
        <w:rPr>
          <w:b/>
        </w:rPr>
        <w:t>lots</w:t>
      </w:r>
      <w:r>
        <w:rPr>
          <w:b/>
        </w:rPr>
        <w:t xml:space="preserve">! </w:t>
      </w:r>
    </w:p>
    <w:p w14:paraId="43CA4D41" w14:textId="62866093" w:rsidR="0007360D" w:rsidRDefault="00C011D8" w:rsidP="6DD2B47F">
      <w:pPr>
        <w:rPr>
          <w:b/>
          <w:bCs/>
        </w:rPr>
      </w:pPr>
      <w:r>
        <w:rPr>
          <w:b/>
        </w:rPr>
        <w:t xml:space="preserve">This not only increases productivity, but also reduces your material consumption, as </w:t>
      </w:r>
      <w:r w:rsidR="00A67E7A">
        <w:rPr>
          <w:b/>
        </w:rPr>
        <w:t>orders</w:t>
      </w:r>
      <w:r>
        <w:rPr>
          <w:b/>
        </w:rPr>
        <w:t xml:space="preserve"> can be intelligently bundled and transferred directly to a cutting optimization of your choice. </w:t>
      </w:r>
    </w:p>
    <w:p w14:paraId="161E6E95" w14:textId="163C36FA" w:rsidR="00A552AF" w:rsidRDefault="00C011D8" w:rsidP="00833FE2">
      <w:pPr>
        <w:pStyle w:val="Heading2"/>
      </w:pPr>
      <w:r>
        <w:t xml:space="preserve">Create </w:t>
      </w:r>
      <w:r w:rsidR="00A67E7A">
        <w:t>lots</w:t>
      </w:r>
      <w:r>
        <w:t xml:space="preserve"> and save </w:t>
      </w:r>
      <w:proofErr w:type="gramStart"/>
      <w:r>
        <w:t>money</w:t>
      </w:r>
      <w:proofErr w:type="gramEnd"/>
    </w:p>
    <w:p w14:paraId="7B44D551" w14:textId="2A1F4F26" w:rsidR="00EF7108" w:rsidRDefault="00A67E7A" w:rsidP="0007360D">
      <w:r>
        <w:t>Lot generation</w:t>
      </w:r>
      <w:r w:rsidR="00EF7108">
        <w:t xml:space="preserve"> supports you in organizing and creating your production </w:t>
      </w:r>
      <w:r>
        <w:t>lots</w:t>
      </w:r>
      <w:r w:rsidR="00EF7108">
        <w:t xml:space="preserve">. You get an overview of your </w:t>
      </w:r>
      <w:r>
        <w:t>orders</w:t>
      </w:r>
      <w:r w:rsidR="00EF7108">
        <w:t xml:space="preserve"> to be planned and you can combine them into production </w:t>
      </w:r>
      <w:r>
        <w:t>lots</w:t>
      </w:r>
      <w:r w:rsidR="00EF7108">
        <w:t xml:space="preserve"> with just one click. Your production </w:t>
      </w:r>
      <w:r>
        <w:t>lots</w:t>
      </w:r>
      <w:r w:rsidR="00EF7108">
        <w:t xml:space="preserve"> are displayed directly in productionManager and there is a clear overview that makes their management easy. This means that every employee knows the status of </w:t>
      </w:r>
      <w:r>
        <w:t>a</w:t>
      </w:r>
      <w:r w:rsidR="00EF7108">
        <w:t xml:space="preserve"> production </w:t>
      </w:r>
      <w:r>
        <w:t>lot</w:t>
      </w:r>
      <w:r w:rsidR="00EF7108">
        <w:t xml:space="preserve"> (</w:t>
      </w:r>
      <w:proofErr w:type="gramStart"/>
      <w:r w:rsidR="00EF7108">
        <w:t>e.g.</w:t>
      </w:r>
      <w:proofErr w:type="gramEnd"/>
      <w:r w:rsidR="00EF7108">
        <w:t xml:space="preserve"> New/Ready for production/In production) as well as when a production </w:t>
      </w:r>
      <w:r>
        <w:t>lot</w:t>
      </w:r>
      <w:r w:rsidR="00EF7108">
        <w:t xml:space="preserve"> is fully completed at all times.</w:t>
      </w:r>
    </w:p>
    <w:p w14:paraId="1D4DB017" w14:textId="77777777" w:rsidR="00742907" w:rsidRDefault="00742907" w:rsidP="0007360D"/>
    <w:p w14:paraId="6097A249" w14:textId="7016177C" w:rsidR="00D131F0" w:rsidRDefault="00EF7108" w:rsidP="00E74FA5">
      <w:r>
        <w:t xml:space="preserve">The new function also allows you to bundle </w:t>
      </w:r>
      <w:r w:rsidR="00A67E7A">
        <w:t>orders</w:t>
      </w:r>
      <w:r>
        <w:t xml:space="preserve"> based on important key figures (</w:t>
      </w:r>
      <w:proofErr w:type="gramStart"/>
      <w:r>
        <w:t>e.g.</w:t>
      </w:r>
      <w:proofErr w:type="gramEnd"/>
      <w:r>
        <w:t xml:space="preserve"> the same </w:t>
      </w:r>
      <w:r w:rsidR="00A67E7A">
        <w:t>board</w:t>
      </w:r>
      <w:r>
        <w:t xml:space="preserve"> or edge material). This significantly reduces your material consumption, as </w:t>
      </w:r>
      <w:r w:rsidR="00A67E7A">
        <w:t>orders</w:t>
      </w:r>
      <w:r>
        <w:t xml:space="preserve"> with the same materials are optimized together. Not only do you save money, but you also increase your productivity, because </w:t>
      </w:r>
      <w:r w:rsidR="00A67E7A">
        <w:t>parts</w:t>
      </w:r>
      <w:r>
        <w:t xml:space="preserve"> with the same </w:t>
      </w:r>
      <w:r w:rsidR="00A67E7A">
        <w:t>board</w:t>
      </w:r>
      <w:r>
        <w:t xml:space="preserve"> and edge materials go into production together. This allows setup processes for division (cutting and nesting) and on the edge banding machine to be reduced. Other interesting key figures, such as the </w:t>
      </w:r>
      <w:r w:rsidR="00A67E7A">
        <w:t>quantity</w:t>
      </w:r>
      <w:r>
        <w:t xml:space="preserve"> of items of furniture to be assembled, make the effects of the </w:t>
      </w:r>
      <w:r w:rsidR="00A67E7A">
        <w:t>lots</w:t>
      </w:r>
      <w:r>
        <w:t xml:space="preserve"> you have formed on production immediately visible. </w:t>
      </w:r>
    </w:p>
    <w:p w14:paraId="236023B7" w14:textId="77777777" w:rsidR="00D131F0" w:rsidRDefault="00D131F0" w:rsidP="00E74FA5"/>
    <w:p w14:paraId="531439BC" w14:textId="77777777" w:rsidR="005441E7" w:rsidRDefault="005441E7" w:rsidP="00E74FA5">
      <w:pPr>
        <w:rPr>
          <w:b/>
        </w:rPr>
      </w:pPr>
    </w:p>
    <w:p w14:paraId="7292686B" w14:textId="3F0C39DA" w:rsidR="00E74FA5" w:rsidRDefault="00E74FA5" w:rsidP="00E74FA5">
      <w:r>
        <w:rPr>
          <w:b/>
        </w:rPr>
        <w:t>Another highlight</w:t>
      </w:r>
      <w:r>
        <w:t xml:space="preserve"> is that your production </w:t>
      </w:r>
      <w:r w:rsidR="00A67E7A">
        <w:t>lots</w:t>
      </w:r>
      <w:r>
        <w:t xml:space="preserve"> can be transferred directly to a cutting optimization of your choice and processed directly from there. </w:t>
      </w:r>
    </w:p>
    <w:p w14:paraId="54BEF0EF" w14:textId="1DD5A673" w:rsidR="00E74FA5" w:rsidRDefault="00E74FA5" w:rsidP="00E74FA5">
      <w:r>
        <w:t xml:space="preserve">If you work with the cutting optimization intelliDivide Cutting or Nesting, your production </w:t>
      </w:r>
      <w:r w:rsidR="00A67E7A">
        <w:t>lot</w:t>
      </w:r>
      <w:r>
        <w:t xml:space="preserve"> is transferred directly with one click and the optimization starts automatically if </w:t>
      </w:r>
      <w:r w:rsidR="00A67E7A">
        <w:t>chosen</w:t>
      </w:r>
      <w:r>
        <w:t xml:space="preserve"> — without you having to do any manual steps in between or having to open the intelliDivide app at the same time.</w:t>
      </w:r>
    </w:p>
    <w:p w14:paraId="34E96BCD" w14:textId="3C055918" w:rsidR="113AC317" w:rsidRDefault="113AC317" w:rsidP="6DD2B47F">
      <w:r>
        <w:t>If you are using Cut Rite or another cutting optimization, you can export the cutting list as a CSV file and import it into your optimization without any problems.</w:t>
      </w:r>
    </w:p>
    <w:p w14:paraId="2E5D41B8" w14:textId="77777777" w:rsidR="005135C7" w:rsidRDefault="005135C7" w:rsidP="6DD2B47F"/>
    <w:p w14:paraId="0F519029" w14:textId="56D98CC8" w:rsidR="00F2656D" w:rsidRPr="00464433" w:rsidRDefault="00464433" w:rsidP="004C1B1D">
      <w:pPr>
        <w:pStyle w:val="NoSpacing"/>
        <w:rPr>
          <w:rStyle w:val="Hyperlink"/>
          <w:b w:val="0"/>
        </w:rPr>
      </w:pPr>
      <w:r>
        <w:rPr>
          <w:b w:val="0"/>
          <w:sz w:val="22"/>
        </w:rPr>
        <w:fldChar w:fldCharType="begin"/>
      </w:r>
      <w:r>
        <w:rPr>
          <w:b w:val="0"/>
          <w:sz w:val="22"/>
        </w:rPr>
        <w:instrText>HYPERLINK "https://docs.homag.cloud/en/productionmanager/tutorial/lot-generation"</w:instrText>
      </w:r>
      <w:r>
        <w:rPr>
          <w:b w:val="0"/>
          <w:sz w:val="22"/>
        </w:rPr>
      </w:r>
      <w:r>
        <w:rPr>
          <w:b w:val="0"/>
          <w:sz w:val="22"/>
        </w:rPr>
        <w:fldChar w:fldCharType="separate"/>
      </w:r>
      <w:r w:rsidRPr="00464433">
        <w:rPr>
          <w:rStyle w:val="Hyperlink"/>
          <w:b w:val="0"/>
          <w:sz w:val="22"/>
        </w:rPr>
        <w:t xml:space="preserve">Find out how to get the new </w:t>
      </w:r>
      <w:r w:rsidR="00A67E7A">
        <w:rPr>
          <w:rStyle w:val="Hyperlink"/>
          <w:b w:val="0"/>
          <w:sz w:val="22"/>
        </w:rPr>
        <w:t>lot generation</w:t>
      </w:r>
      <w:r w:rsidRPr="00464433">
        <w:rPr>
          <w:rStyle w:val="Hyperlink"/>
          <w:b w:val="0"/>
          <w:sz w:val="22"/>
        </w:rPr>
        <w:t xml:space="preserve"> function here.</w:t>
      </w:r>
      <w:r w:rsidRPr="00464433">
        <w:rPr>
          <w:rStyle w:val="Hyperlink"/>
          <w:b w:val="0"/>
        </w:rPr>
        <w:t xml:space="preserve"> </w:t>
      </w:r>
    </w:p>
    <w:p w14:paraId="45ED16DA" w14:textId="264820AD" w:rsidR="0003325E" w:rsidRDefault="00464433" w:rsidP="00F2656D">
      <w:pPr>
        <w:pStyle w:val="NoSpacing"/>
        <w:rPr>
          <w:b w:val="0"/>
        </w:rPr>
      </w:pPr>
      <w:r>
        <w:rPr>
          <w:b w:val="0"/>
          <w:sz w:val="22"/>
        </w:rPr>
        <w:fldChar w:fldCharType="end"/>
      </w:r>
    </w:p>
    <w:p w14:paraId="473BBCDC" w14:textId="77777777" w:rsidR="00300C34" w:rsidRDefault="00300C34" w:rsidP="00300C34">
      <w:pPr>
        <w:pStyle w:val="NoSpacing"/>
      </w:pPr>
    </w:p>
    <w:p w14:paraId="135C7574" w14:textId="77777777" w:rsidR="00300C34" w:rsidRDefault="00300C34" w:rsidP="00300C34">
      <w:pPr>
        <w:pStyle w:val="NoSpacing"/>
      </w:pPr>
    </w:p>
    <w:p w14:paraId="634DC879" w14:textId="59C91CA3" w:rsidR="00300C34" w:rsidRDefault="00300C34" w:rsidP="00300C34">
      <w:pPr>
        <w:pStyle w:val="NoSpacing"/>
      </w:pPr>
      <w:r>
        <w:t>Images</w:t>
      </w:r>
    </w:p>
    <w:p w14:paraId="3A10AE36" w14:textId="77777777" w:rsidR="00300C34" w:rsidRDefault="00300C34" w:rsidP="00300C34">
      <w:pPr>
        <w:pStyle w:val="NoSpacing"/>
        <w:rPr>
          <w:b w:val="0"/>
        </w:rPr>
      </w:pPr>
      <w:r>
        <w:rPr>
          <w:b w:val="0"/>
        </w:rPr>
        <w:t>Image source: HOMAG Group AG</w:t>
      </w:r>
    </w:p>
    <w:p w14:paraId="5A34B307" w14:textId="77777777" w:rsidR="008E0A03" w:rsidRPr="00D32679" w:rsidRDefault="008E0A03" w:rsidP="00F2656D">
      <w:pPr>
        <w:pStyle w:val="NoSpacing"/>
        <w:rPr>
          <w:b w:val="0"/>
        </w:rPr>
      </w:pPr>
    </w:p>
    <w:p w14:paraId="604CD1A5" w14:textId="77777777" w:rsidR="00032F0A" w:rsidRDefault="00032F0A" w:rsidP="00F2656D">
      <w:pPr>
        <w:pStyle w:val="Title"/>
      </w:pPr>
    </w:p>
    <w:p w14:paraId="32736F20" w14:textId="3783877E" w:rsidR="009B738E" w:rsidRDefault="00AD3FFF" w:rsidP="009B738E">
      <w:r>
        <w:rPr>
          <w:noProof/>
        </w:rPr>
        <w:drawing>
          <wp:inline distT="0" distB="0" distL="0" distR="0" wp14:anchorId="4BF1C198" wp14:editId="05A84228">
            <wp:extent cx="5400675" cy="3601085"/>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337604C7" w:rsidR="0003325E" w:rsidRPr="00D32679" w:rsidRDefault="0003325E" w:rsidP="0003325E">
      <w:pPr>
        <w:pStyle w:val="Title"/>
      </w:pPr>
      <w:r>
        <w:t xml:space="preserve">Figure 1: </w:t>
      </w:r>
      <w:r>
        <w:rPr>
          <w:b w:val="0"/>
        </w:rPr>
        <w:t xml:space="preserve">Available immediately in productionManager: Combine </w:t>
      </w:r>
      <w:r w:rsidR="00A67E7A">
        <w:rPr>
          <w:b w:val="0"/>
        </w:rPr>
        <w:t>orders</w:t>
      </w:r>
      <w:r>
        <w:rPr>
          <w:b w:val="0"/>
        </w:rPr>
        <w:t xml:space="preserve"> into production </w:t>
      </w:r>
      <w:r w:rsidR="00A67E7A">
        <w:rPr>
          <w:b w:val="0"/>
        </w:rPr>
        <w:t>lots</w:t>
      </w:r>
      <w:r>
        <w:rPr>
          <w:b w:val="0"/>
        </w:rPr>
        <w:t xml:space="preserve"> quickly and easily and bundle them intelligently!</w:t>
      </w:r>
    </w:p>
    <w:p w14:paraId="00C3C2D2" w14:textId="77777777" w:rsidR="009B738E" w:rsidRDefault="009B738E" w:rsidP="009B738E"/>
    <w:p w14:paraId="0F519032" w14:textId="77777777" w:rsidR="00B57FAC" w:rsidRPr="001234BA" w:rsidRDefault="00B57FAC" w:rsidP="00F2656D">
      <w:pPr>
        <w:pStyle w:val="Title"/>
      </w:pPr>
    </w:p>
    <w:p w14:paraId="0F519033" w14:textId="77777777" w:rsidR="00B57FAC" w:rsidRPr="001234BA" w:rsidRDefault="00B57FAC" w:rsidP="00F2656D">
      <w:pPr>
        <w:pStyle w:val="Title"/>
      </w:pPr>
    </w:p>
    <w:p w14:paraId="0F519038" w14:textId="77777777" w:rsidR="00481597" w:rsidRPr="001234BA" w:rsidRDefault="00481597" w:rsidP="00F2656D">
      <w:pPr>
        <w:pStyle w:val="Title"/>
        <w:pBdr>
          <w:bottom w:val="single" w:sz="6" w:space="1" w:color="auto"/>
        </w:pBdr>
      </w:pPr>
    </w:p>
    <w:p w14:paraId="0F519039" w14:textId="77777777" w:rsidR="00F2656D" w:rsidRDefault="00F2656D" w:rsidP="008547A0">
      <w:pPr>
        <w:pStyle w:val="Subtitle"/>
      </w:pPr>
    </w:p>
    <w:p w14:paraId="0F51903A" w14:textId="77777777" w:rsidR="00F2656D" w:rsidRPr="00F2656D" w:rsidRDefault="00F2656D" w:rsidP="008547A0">
      <w:pPr>
        <w:pStyle w:val="Subtitle"/>
      </w:pPr>
    </w:p>
    <w:p w14:paraId="0F51903B" w14:textId="77777777" w:rsidR="00F2656D" w:rsidRPr="008547A0" w:rsidRDefault="00F2656D" w:rsidP="008547A0">
      <w:pPr>
        <w:pStyle w:val="Subtitle"/>
        <w:rPr>
          <w:b/>
        </w:rPr>
      </w:pPr>
      <w:r>
        <w:rPr>
          <w:b/>
        </w:rPr>
        <w:t>If you have any questions, please contact:</w:t>
      </w:r>
    </w:p>
    <w:p w14:paraId="0F51903C" w14:textId="77777777" w:rsidR="00F2656D" w:rsidRPr="008547A0" w:rsidRDefault="00F2656D" w:rsidP="008547A0">
      <w:pPr>
        <w:pStyle w:val="Subtitle"/>
      </w:pPr>
    </w:p>
    <w:p w14:paraId="0F51903D" w14:textId="77777777" w:rsidR="00F2656D" w:rsidRPr="008547A0" w:rsidRDefault="00F2656D" w:rsidP="008547A0">
      <w:pPr>
        <w:pStyle w:val="Subtitle"/>
      </w:pPr>
    </w:p>
    <w:p w14:paraId="0F51903E" w14:textId="77777777" w:rsidR="00F2656D" w:rsidRPr="008547A0" w:rsidRDefault="00F2656D" w:rsidP="008547A0">
      <w:pPr>
        <w:pStyle w:val="Subtitle"/>
        <w:rPr>
          <w:b/>
        </w:rPr>
      </w:pPr>
      <w:r>
        <w:rPr>
          <w:b/>
        </w:rPr>
        <w:t>HOMAG Group AG</w:t>
      </w:r>
    </w:p>
    <w:p w14:paraId="0F51903F" w14:textId="77777777" w:rsidR="00F2656D" w:rsidRPr="008547A0" w:rsidRDefault="00F2656D" w:rsidP="008547A0">
      <w:pPr>
        <w:pStyle w:val="Subtitle"/>
      </w:pPr>
      <w:r>
        <w:t>Homagstrasse 3–5</w:t>
      </w:r>
    </w:p>
    <w:p w14:paraId="0F519040" w14:textId="77777777" w:rsidR="00F2656D" w:rsidRPr="008547A0" w:rsidRDefault="00F2656D" w:rsidP="008547A0">
      <w:pPr>
        <w:pStyle w:val="Subtitle"/>
      </w:pPr>
      <w:r>
        <w:t>72296 Schopfloch</w:t>
      </w:r>
    </w:p>
    <w:p w14:paraId="0F519041" w14:textId="77777777" w:rsidR="00F2656D" w:rsidRPr="008547A0" w:rsidRDefault="00F2656D" w:rsidP="008547A0">
      <w:pPr>
        <w:pStyle w:val="Subtitle"/>
      </w:pPr>
      <w:r>
        <w:t>Germany</w:t>
      </w:r>
    </w:p>
    <w:p w14:paraId="0F519042" w14:textId="77777777" w:rsidR="00F2656D" w:rsidRPr="00226288" w:rsidRDefault="00F2656D" w:rsidP="008547A0">
      <w:pPr>
        <w:pStyle w:val="Subtitle"/>
      </w:pPr>
      <w:r>
        <w:t>www.homag.com</w:t>
      </w:r>
    </w:p>
    <w:p w14:paraId="0F519043" w14:textId="77777777" w:rsidR="00F2656D" w:rsidRPr="00226288" w:rsidRDefault="00F2656D" w:rsidP="008547A0">
      <w:pPr>
        <w:pStyle w:val="Subtitle"/>
      </w:pPr>
    </w:p>
    <w:p w14:paraId="0F519044" w14:textId="77777777" w:rsidR="00F2656D" w:rsidRPr="00226288" w:rsidRDefault="00F2656D" w:rsidP="008547A0">
      <w:pPr>
        <w:pStyle w:val="Subtitle"/>
      </w:pPr>
    </w:p>
    <w:p w14:paraId="0F519045" w14:textId="39DFD1C5" w:rsidR="00F12542" w:rsidRPr="00640964" w:rsidRDefault="00F12542" w:rsidP="008547A0">
      <w:pPr>
        <w:pStyle w:val="Subtitle"/>
        <w:rPr>
          <w:b/>
        </w:rPr>
      </w:pPr>
      <w:r>
        <w:rPr>
          <w:b/>
        </w:rPr>
        <w:t>Ms. Dejana Stevic</w:t>
      </w:r>
    </w:p>
    <w:p w14:paraId="4A579205" w14:textId="597BE669" w:rsidR="00640964" w:rsidRPr="00036035" w:rsidRDefault="00226288" w:rsidP="00036035">
      <w:pPr>
        <w:pStyle w:val="Subtitle"/>
      </w:pPr>
      <w:r>
        <w:t>Digital Product Innovation</w:t>
      </w:r>
    </w:p>
    <w:p w14:paraId="0F519047" w14:textId="70528FC5" w:rsidR="00F12542" w:rsidRPr="00096C05" w:rsidRDefault="00F12542" w:rsidP="008547A0">
      <w:pPr>
        <w:pStyle w:val="Subtitle"/>
      </w:pPr>
      <w:r>
        <w:t>Tel.</w:t>
      </w:r>
      <w:r>
        <w:tab/>
        <w:t>+49 (0) 173 492 7083</w:t>
      </w:r>
    </w:p>
    <w:p w14:paraId="0F519049" w14:textId="4B078CB0" w:rsidR="00481597" w:rsidRPr="00226288" w:rsidRDefault="00226288" w:rsidP="008547A0">
      <w:pPr>
        <w:pStyle w:val="Subtitle"/>
      </w:pPr>
      <w:r>
        <w:t>dejana.stevic@homag.com</w:t>
      </w:r>
    </w:p>
    <w:sectPr w:rsidR="00481597" w:rsidRPr="00226288"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2CB1F" w14:textId="77777777" w:rsidR="00FA692E" w:rsidRDefault="00FA692E">
      <w:r>
        <w:separator/>
      </w:r>
    </w:p>
  </w:endnote>
  <w:endnote w:type="continuationSeparator" w:id="0">
    <w:p w14:paraId="16AA1BE6" w14:textId="77777777" w:rsidR="00FA692E" w:rsidRDefault="00FA692E">
      <w:r>
        <w:continuationSeparator/>
      </w:r>
    </w:p>
  </w:endnote>
  <w:endnote w:type="continuationNotice" w:id="1">
    <w:p w14:paraId="6F000699" w14:textId="77777777" w:rsidR="00413121" w:rsidRDefault="00413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F1B77" w14:textId="655ADFC7" w:rsidR="00B46897" w:rsidRDefault="00B46897">
    <w:pPr>
      <w:pStyle w:val="Footer"/>
    </w:pPr>
    <w:r>
      <w:rPr>
        <w:noProof/>
      </w:rPr>
      <mc:AlternateContent>
        <mc:Choice Requires="wps">
          <w:drawing>
            <wp:anchor distT="0" distB="0" distL="0" distR="0" simplePos="0" relativeHeight="251658241"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19055" w14:textId="6C3FC329" w:rsidR="0054012D" w:rsidRDefault="0054012D">
    <w:pPr>
      <w:pStyle w:val="Footer"/>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E5157" w14:textId="5F606E9D" w:rsidR="00B46897" w:rsidRDefault="00B46897">
    <w:pPr>
      <w:pStyle w:val="Footer"/>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609D8" w14:textId="77777777" w:rsidR="00FA692E" w:rsidRDefault="00FA692E">
      <w:r>
        <w:separator/>
      </w:r>
    </w:p>
  </w:footnote>
  <w:footnote w:type="continuationSeparator" w:id="0">
    <w:p w14:paraId="2D5CA272" w14:textId="77777777" w:rsidR="00FA692E" w:rsidRDefault="00FA692E">
      <w:r>
        <w:continuationSeparator/>
      </w:r>
    </w:p>
  </w:footnote>
  <w:footnote w:type="continuationNotice" w:id="1">
    <w:p w14:paraId="5B525056" w14:textId="77777777" w:rsidR="00413121" w:rsidRDefault="004131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1904E" w14:textId="39D64770" w:rsidR="0054012D" w:rsidRDefault="0054012D" w:rsidP="001C1F3B">
    <w:pPr>
      <w:pStyle w:val="Header"/>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300C34">
          <w:pPr>
            <w:pStyle w:val="Header"/>
            <w:widowControl/>
            <w:tabs>
              <w:tab w:val="clear" w:pos="1418"/>
              <w:tab w:val="clear" w:pos="1560"/>
            </w:tabs>
            <w:spacing w:after="0" w:line="240" w:lineRule="auto"/>
            <w:rPr>
              <w:sz w:val="18"/>
            </w:rPr>
          </w:pPr>
          <w:r>
            <w:rPr>
              <w:sz w:val="18"/>
            </w:rPr>
            <w:t>Digitalization</w:t>
          </w:r>
        </w:p>
        <w:p w14:paraId="0F519050" w14:textId="77777777" w:rsidR="00C74CDC" w:rsidRDefault="00C74CDC" w:rsidP="00300C34">
          <w:pPr>
            <w:pStyle w:val="Header"/>
            <w:widowControl/>
            <w:tabs>
              <w:tab w:val="clear" w:pos="1418"/>
              <w:tab w:val="clear" w:pos="1560"/>
            </w:tabs>
            <w:spacing w:after="0"/>
            <w:rPr>
              <w:sz w:val="18"/>
            </w:rPr>
          </w:pPr>
        </w:p>
      </w:tc>
      <w:tc>
        <w:tcPr>
          <w:tcW w:w="2268" w:type="dxa"/>
        </w:tcPr>
        <w:p w14:paraId="0F519051" w14:textId="62FCC77A" w:rsidR="00C74CDC" w:rsidRDefault="00C64040" w:rsidP="00300C34">
          <w:pPr>
            <w:pStyle w:val="Header"/>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35F5CC8A" w:rsidR="00C74CDC" w:rsidRDefault="00C74CDC" w:rsidP="006F1AC9">
          <w:pPr>
            <w:pStyle w:val="Header"/>
            <w:widowControl/>
            <w:tabs>
              <w:tab w:val="clear" w:pos="1418"/>
              <w:tab w:val="clear" w:pos="1560"/>
              <w:tab w:val="clear" w:pos="9072"/>
              <w:tab w:val="right" w:pos="1763"/>
            </w:tabs>
            <w:spacing w:after="0"/>
            <w:ind w:right="284"/>
            <w:rPr>
              <w:sz w:val="18"/>
            </w:rPr>
          </w:pPr>
          <w:r>
            <w:rPr>
              <w:sz w:val="18"/>
            </w:rPr>
            <w:tab/>
          </w:r>
          <w:r w:rsidR="005441E7">
            <w:rPr>
              <w:sz w:val="18"/>
            </w:rPr>
            <w:t>June</w:t>
          </w:r>
          <w:r>
            <w:rPr>
              <w:sz w:val="18"/>
            </w:rPr>
            <w:t xml:space="preserve"> 2024</w:t>
          </w:r>
        </w:p>
      </w:tc>
    </w:tr>
  </w:tbl>
  <w:p w14:paraId="0F519054" w14:textId="77777777" w:rsidR="0054012D" w:rsidRPr="00F2656D" w:rsidRDefault="0054012D">
    <w:pPr>
      <w:pStyle w:val="Header"/>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0F128A"/>
    <w:rsid w:val="001009AB"/>
    <w:rsid w:val="00103BBE"/>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76D19"/>
    <w:rsid w:val="002878C1"/>
    <w:rsid w:val="0028798C"/>
    <w:rsid w:val="0029021C"/>
    <w:rsid w:val="002925D7"/>
    <w:rsid w:val="002977EE"/>
    <w:rsid w:val="002A0418"/>
    <w:rsid w:val="002A19F6"/>
    <w:rsid w:val="002A557A"/>
    <w:rsid w:val="002B117B"/>
    <w:rsid w:val="002B2FFA"/>
    <w:rsid w:val="002D61FC"/>
    <w:rsid w:val="002E1B81"/>
    <w:rsid w:val="002E311E"/>
    <w:rsid w:val="002E4150"/>
    <w:rsid w:val="002F10E8"/>
    <w:rsid w:val="00300C34"/>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3121"/>
    <w:rsid w:val="00415506"/>
    <w:rsid w:val="00415721"/>
    <w:rsid w:val="004317D9"/>
    <w:rsid w:val="0043306C"/>
    <w:rsid w:val="004400EF"/>
    <w:rsid w:val="004401F4"/>
    <w:rsid w:val="004407DC"/>
    <w:rsid w:val="00443069"/>
    <w:rsid w:val="00445EF9"/>
    <w:rsid w:val="00450A48"/>
    <w:rsid w:val="00450BED"/>
    <w:rsid w:val="004605F6"/>
    <w:rsid w:val="00464433"/>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41E7"/>
    <w:rsid w:val="005475DE"/>
    <w:rsid w:val="00547750"/>
    <w:rsid w:val="005527AE"/>
    <w:rsid w:val="00556591"/>
    <w:rsid w:val="00570C27"/>
    <w:rsid w:val="0057551E"/>
    <w:rsid w:val="00576B4F"/>
    <w:rsid w:val="0058077E"/>
    <w:rsid w:val="00581038"/>
    <w:rsid w:val="0058611D"/>
    <w:rsid w:val="0058634F"/>
    <w:rsid w:val="00591A1C"/>
    <w:rsid w:val="00594527"/>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472AF"/>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380E"/>
    <w:rsid w:val="009C58AA"/>
    <w:rsid w:val="009C73C6"/>
    <w:rsid w:val="009C7E51"/>
    <w:rsid w:val="009E15B5"/>
    <w:rsid w:val="009E1B64"/>
    <w:rsid w:val="009E3C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67E7A"/>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3FFF"/>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22BB"/>
    <w:rsid w:val="00C16716"/>
    <w:rsid w:val="00C17557"/>
    <w:rsid w:val="00C21CA2"/>
    <w:rsid w:val="00C23A17"/>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A692E"/>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56560946-7C89-415A-A14C-8F9BE78E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4105D8"/>
    <w:pPr>
      <w:spacing w:after="360"/>
      <w:outlineLvl w:val="0"/>
    </w:pPr>
    <w:rPr>
      <w:b/>
      <w:color w:val="00A0DC" w:themeColor="background2"/>
      <w:sz w:val="32"/>
    </w:rPr>
  </w:style>
  <w:style w:type="paragraph" w:styleId="Heading2">
    <w:name w:val="heading 2"/>
    <w:aliases w:val="Sub-Headline"/>
    <w:basedOn w:val="Normal"/>
    <w:next w:val="Normal"/>
    <w:qFormat/>
    <w:rsid w:val="00017717"/>
    <w:pPr>
      <w:spacing w:before="600"/>
      <w:outlineLvl w:val="1"/>
    </w:pPr>
    <w:rPr>
      <w:b/>
      <w:color w:val="001941" w:themeColor="text2"/>
      <w:sz w:val="24"/>
    </w:rPr>
  </w:style>
  <w:style w:type="paragraph" w:styleId="Heading3">
    <w:name w:val="heading 3"/>
    <w:aliases w:val="Small Headline above Big Headline"/>
    <w:basedOn w:val="Normal"/>
    <w:next w:val="Normal"/>
    <w:qFormat/>
    <w:rsid w:val="00027E33"/>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styleId="ListParagraph">
    <w:name w:val="List Paragraph"/>
    <w:basedOn w:val="Normal"/>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DefaultParagraphFont"/>
    <w:uiPriority w:val="99"/>
    <w:unhideWhenUsed/>
    <w:rsid w:val="001E6CF1"/>
    <w:rPr>
      <w:color w:val="0000FF"/>
      <w:u w:val="single"/>
    </w:rPr>
  </w:style>
  <w:style w:type="character" w:styleId="CommentReference">
    <w:name w:val="annotation reference"/>
    <w:basedOn w:val="DefaultParagraphFont"/>
    <w:uiPriority w:val="99"/>
    <w:semiHidden/>
    <w:unhideWhenUsed/>
    <w:rsid w:val="00CF2A3E"/>
    <w:rPr>
      <w:sz w:val="16"/>
      <w:szCs w:val="16"/>
    </w:rPr>
  </w:style>
  <w:style w:type="paragraph" w:styleId="CommentText">
    <w:name w:val="annotation text"/>
    <w:basedOn w:val="Normal"/>
    <w:link w:val="CommentTextChar"/>
    <w:uiPriority w:val="99"/>
    <w:unhideWhenUsed/>
    <w:rsid w:val="00CF2A3E"/>
    <w:pPr>
      <w:spacing w:line="240" w:lineRule="auto"/>
    </w:pPr>
    <w:rPr>
      <w:sz w:val="20"/>
    </w:rPr>
  </w:style>
  <w:style w:type="character" w:customStyle="1" w:styleId="CommentTextChar">
    <w:name w:val="Comment Text Char"/>
    <w:basedOn w:val="DefaultParagraphFont"/>
    <w:link w:val="CommentText"/>
    <w:uiPriority w:val="99"/>
    <w:rsid w:val="00CF2A3E"/>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CF2A3E"/>
    <w:rPr>
      <w:b/>
      <w:bCs/>
    </w:rPr>
  </w:style>
  <w:style w:type="character" w:customStyle="1" w:styleId="CommentSubjectChar">
    <w:name w:val="Comment Subject Char"/>
    <w:basedOn w:val="CommentTextChar"/>
    <w:link w:val="CommentSubject"/>
    <w:uiPriority w:val="99"/>
    <w:semiHidden/>
    <w:rsid w:val="00CF2A3E"/>
    <w:rPr>
      <w:rFonts w:ascii="Arial" w:hAnsi="Arial"/>
      <w:b/>
      <w:bCs/>
      <w:color w:val="000000" w:themeColor="text1"/>
    </w:rPr>
  </w:style>
  <w:style w:type="character" w:styleId="Mention">
    <w:name w:val="Mention"/>
    <w:basedOn w:val="DefaultParagraphFont"/>
    <w:uiPriority w:val="99"/>
    <w:unhideWhenUsed/>
    <w:rsid w:val="00CF2A3E"/>
    <w:rPr>
      <w:color w:val="2B579A"/>
      <w:shd w:val="clear" w:color="auto" w:fill="E1DFDD"/>
    </w:rPr>
  </w:style>
  <w:style w:type="paragraph" w:styleId="Revision">
    <w:name w:val="Revision"/>
    <w:hidden/>
    <w:uiPriority w:val="99"/>
    <w:semiHidden/>
    <w:rsid w:val="008C01A2"/>
    <w:rPr>
      <w:rFonts w:ascii="Arial" w:hAnsi="Arial"/>
      <w:color w:val="000000" w:themeColor="text1"/>
      <w:sz w:val="22"/>
    </w:rPr>
  </w:style>
  <w:style w:type="character" w:styleId="UnresolvedMention">
    <w:name w:val="Unresolved Mention"/>
    <w:basedOn w:val="DefaultParagraphFont"/>
    <w:uiPriority w:val="99"/>
    <w:semiHidden/>
    <w:unhideWhenUsed/>
    <w:rsid w:val="000332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6340F-0700-4139-B85E-033F4367062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4d9ded76-2ab4-4937-8338-98145f7ef32f"/>
    <ds:schemaRef ds:uri="http://purl.org/dc/dcmitype/"/>
    <ds:schemaRef ds:uri="http://schemas.microsoft.com/office/infopath/2007/PartnerControls"/>
    <ds:schemaRef ds:uri="849beaea-35c0-4d6b-b4fc-1b944a259c2c"/>
    <ds:schemaRef ds:uri="5a1f3f64-baba-4153-bf20-9e71bc3451ff"/>
    <ds:schemaRef ds:uri="http://www.w3.org/XML/1998/namespace"/>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2432</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75</cp:revision>
  <cp:lastPrinted>2018-02-22T19:43:00Z</cp:lastPrinted>
  <dcterms:created xsi:type="dcterms:W3CDTF">2024-05-23T15:56:00Z</dcterms:created>
  <dcterms:modified xsi:type="dcterms:W3CDTF">2024-06-11T15:16:00Z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