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SmartWOP: inteligente, sencillo y rápido</w:t>
      </w:r>
    </w:p>
    <w:p w14:paraId="0F51901D" w14:textId="5873B9DB" w:rsidR="0066716B" w:rsidRPr="005E1DD1" w:rsidRDefault="00331BD1" w:rsidP="00C45AD8">
      <w:pPr>
        <w:pStyle w:val="berschrift1"/>
      </w:pPr>
      <w:r>
        <w:t>La construcción de muebles s</w:t>
      </w:r>
      <w:r w:rsidR="002814FC">
        <w:t xml:space="preserve"> </w:t>
      </w:r>
      <w:r>
        <w:t>encilla</w:t>
      </w:r>
    </w:p>
    <w:p w14:paraId="2A440D9E" w14:textId="7D2EA2EE" w:rsidR="00943181" w:rsidRPr="005E1DD1" w:rsidRDefault="00331BD1" w:rsidP="5108CC3C">
      <w:pPr>
        <w:rPr>
          <w:b/>
          <w:bCs/>
        </w:rPr>
      </w:pPr>
      <w:r>
        <w:rPr>
          <w:b/>
        </w:rPr>
        <w:t xml:space="preserve">Muchos clientes desean un software de construcción de muebles que sea fácil de usar y ofrezca la máxima flexibilidad en el diseño. Con SmartWOP, HOMAG ofrece un nuevo software que cumple exactamente estas exigencias. </w:t>
      </w:r>
    </w:p>
    <w:p w14:paraId="0F519021" w14:textId="12885A1A" w:rsidR="0066716B" w:rsidRDefault="00D13EF5" w:rsidP="00F2656D">
      <w:pPr>
        <w:pStyle w:val="berschrift2"/>
      </w:pPr>
      <w:r>
        <w:t>El software para construcciones innovadoras</w:t>
      </w:r>
    </w:p>
    <w:p w14:paraId="71593522" w14:textId="5F26EA9E" w:rsidR="00D13EF5" w:rsidRDefault="00420B85" w:rsidP="001D52FA">
      <w:r>
        <w:t>SmartWOP ofrece al usuario un potente sistema CAD/CAM con el que se pueden crear muebles individuales de forma intuitiva con tan solo arrastrar y soltar en el menor tiempo posible. Para ello, solo hay que introducir los componentes individuales de un mueble en un volumen preseleccionado. Además del volumen rectangular estándar, también están disponibles volúmenes especiales, como muebles para estancias abuhardilladas o armarios de esquina. Los muebles construidos se pueden guardar en una biblioteca propia para consultarlos o modificarlos en cualquier momento. La función de planificación del espacio le permite diseñar instalaciones completas fácilmente y en poco tiempo. Nos referimos, por ejemplo, a oficinas o cocinas.</w:t>
      </w:r>
    </w:p>
    <w:p w14:paraId="32F8F5B1" w14:textId="21DE9A1F" w:rsidR="00943181" w:rsidRDefault="00EB2967" w:rsidP="00D13EF5">
      <w:pPr>
        <w:pStyle w:val="Formatvorlage1"/>
      </w:pPr>
      <w:r>
        <w:t>Manejo inteligente y construcción flexible</w:t>
      </w:r>
    </w:p>
    <w:p w14:paraId="13F65D8C" w14:textId="7A51E7E8" w:rsidR="00943181" w:rsidRDefault="00D13EF5" w:rsidP="00943181">
      <w:r>
        <w:t xml:space="preserve">Las diversas y sencillas posibilidades de manejo y la construcción con tan solo arrastrar y soltar facilitan la creación de muebles a medida de forma rápida, sin necesidad de conocimientos de CAD. También se puede simular la apertura de puertas y cajones. En este proceso se visualizan y supervisan las posibles colisiones con cualquier elemento cercano. Además, se pueden colocar herrajes y elementos de unión. El volumen de suministro incluye una gran biblioteca con todos los herrajes habituales de los fabricantes conocidos. También se pueden añadir fácilmente al mueble componentes </w:t>
      </w:r>
      <w:proofErr w:type="spellStart"/>
      <w:r>
        <w:t>woodWOP</w:t>
      </w:r>
      <w:proofErr w:type="spellEnd"/>
      <w:r>
        <w:t xml:space="preserve"> propios. </w:t>
      </w:r>
    </w:p>
    <w:p w14:paraId="109B5AE9" w14:textId="0F0AFAAE" w:rsidR="00BA1CD2" w:rsidRPr="002A19B1" w:rsidRDefault="00D467E7" w:rsidP="00943181">
      <w:pPr>
        <w:rPr>
          <w:b/>
          <w:color w:val="00A0DC" w:themeColor="background2"/>
        </w:rPr>
      </w:pPr>
      <w:r>
        <w:rPr>
          <w:b/>
          <w:color w:val="00A0DC" w:themeColor="background2"/>
        </w:rPr>
        <w:t>Representación realista de muebles</w:t>
      </w:r>
    </w:p>
    <w:p w14:paraId="79FCC75E" w14:textId="789177AB" w:rsidR="002A19B1" w:rsidRDefault="006751AF" w:rsidP="00943181">
      <w:r>
        <w:t xml:space="preserve">Además de sus aspectos de diseño, el punto fuerte de SmartWOP reside en la presentación y representación de muebles. Contiene una biblioteca de materiales </w:t>
      </w:r>
      <w:r>
        <w:lastRenderedPageBreak/>
        <w:t xml:space="preserve">integrada con diversas decoraciones para materiales de canto y de tableros, que permite al usuario asignar rápidamente el material correspondiente a cada componente. Los muebles pueden representarse de forma realista durante la planificación en forma de modelos 3D que el usuario puede girar a voluntad. </w:t>
      </w:r>
    </w:p>
    <w:p w14:paraId="2EF39F21" w14:textId="193BEA3C" w:rsidR="0093680E" w:rsidRDefault="00A95022" w:rsidP="00943181">
      <w:r>
        <w:t>La vista detallada muestra todas las piezas individuales del objeto diseñado por separado, por lo que sirve de ayuda y facilita el montaje de un mueble complejo, por ejemplo.</w:t>
      </w:r>
    </w:p>
    <w:p w14:paraId="6D6F79F5" w14:textId="379C4607" w:rsidR="00943181" w:rsidRDefault="009F19D3" w:rsidP="009F19D3">
      <w:pPr>
        <w:pStyle w:val="Formatvorlage1"/>
      </w:pPr>
      <w:r>
        <w:t>Diseño individual de instalaciones completas</w:t>
      </w:r>
    </w:p>
    <w:p w14:paraId="01FA8AAE" w14:textId="4C5D27EA" w:rsidR="009F19D3" w:rsidRDefault="00605A32" w:rsidP="009F19D3">
      <w:r>
        <w:t>SmartWOP no solo sirve para crear muebles individuales, sino también para diseñar instalaciones completas. La función de planificación del espacio permite diseñar desde armarios individuales hasta estancias completas, según las necesidades del cliente.</w:t>
      </w:r>
    </w:p>
    <w:p w14:paraId="54CE3C45" w14:textId="11BF1CB5" w:rsidR="009F19D3" w:rsidRDefault="00A3381F" w:rsidP="00EF4831">
      <w:pPr>
        <w:pStyle w:val="Formatvorlage1"/>
      </w:pPr>
      <w:r>
        <w:t xml:space="preserve">Potente combinación de software: integración innovadora de </w:t>
      </w:r>
      <w:proofErr w:type="spellStart"/>
      <w:r>
        <w:t>woodWOP</w:t>
      </w:r>
      <w:proofErr w:type="spellEnd"/>
      <w:r>
        <w:t xml:space="preserve"> en SmartWOP</w:t>
      </w:r>
    </w:p>
    <w:p w14:paraId="7DCF52A9" w14:textId="0E4CF69F" w:rsidR="00EF4831" w:rsidRDefault="00EF4831" w:rsidP="00EF4831">
      <w:r>
        <w:t xml:space="preserve">La interacción integrada entre las dos soluciones de software ofrece la particularidad de poder seleccionar una pieza individual de un mueble en SmartWOP y abrirla directamente en </w:t>
      </w:r>
      <w:proofErr w:type="spellStart"/>
      <w:r>
        <w:t>woodWOP</w:t>
      </w:r>
      <w:proofErr w:type="spellEnd"/>
      <w:r>
        <w:t xml:space="preserve">. En </w:t>
      </w:r>
      <w:proofErr w:type="spellStart"/>
      <w:r>
        <w:t>woodWOP</w:t>
      </w:r>
      <w:proofErr w:type="spellEnd"/>
      <w:r>
        <w:t xml:space="preserve"> se pueden añadir y guardar mecanizados. Todas las modificaciones se aplican directamente a SmartWOP y se visualizan allí.  Los programas CNC se generan directamente en SmartWOP e incluyen todos los mecanizados, tanto los de SmartWOP como los de </w:t>
      </w:r>
      <w:proofErr w:type="spellStart"/>
      <w:r>
        <w:t>woodWOP</w:t>
      </w:r>
      <w:proofErr w:type="spellEnd"/>
      <w:r>
        <w:t>. Se trata de una función totalmente exclusiva que no ofrece ningún otro sistema CAD/CAM similar. Esta interacción brinda un sinfín de opciones durante el diseño y, sobre todo, en la posterior fabricación CNC.</w:t>
      </w:r>
    </w:p>
    <w:p w14:paraId="77C09585" w14:textId="39322C90" w:rsidR="00713AAF" w:rsidRDefault="00EF4831" w:rsidP="00EF4831">
      <w:pPr>
        <w:pStyle w:val="Formatvorlage1"/>
      </w:pPr>
      <w:r>
        <w:t>Transferencia directa de los datos de SmartWOP a las aplicaciones y los asistentes digitales de HOMAG</w:t>
      </w:r>
    </w:p>
    <w:p w14:paraId="03325BD7" w14:textId="6F53D502" w:rsidR="6C4BF7B3" w:rsidRDefault="6C4BF7B3">
      <w:r>
        <w:t xml:space="preserve">Mediante un solo clic, podrá generar todos los datos de producción, como programas CNC, listas de piezas para el corte de tableros, listas de herrajes o dibujos técnicos. No olvide que los datos generados se pueden transferir directamente a las aplicaciones y los asistentes digitales de HOMAG, productionManager e intelliDivide. </w:t>
      </w:r>
    </w:p>
    <w:p w14:paraId="0017F1F4" w14:textId="4342DA26" w:rsidR="008F3291" w:rsidRDefault="00911F53">
      <w:r>
        <w:t xml:space="preserve">Una vez transferido un pedido a productionManager, podrá acceder a las listas de piezas y los dibujos desde cualquier lugar. De este modo, todo el personal que trabaja en el pedido hasta el montaje final tiene acceso a todos los detalles del pedido en </w:t>
      </w:r>
      <w:r>
        <w:lastRenderedPageBreak/>
        <w:t>cualquier momento. Sin embargo, aquí no acaban las prestaciones de productionManager: la carpeta de trabajo digital muestra de forma clara el progreso de cada pieza o de todo el pedido. El usuario puede marcar las piezas individuales como "mecanizado completado" en cada paso del proceso (por ejemplo, en el serrado, el montaje, o el mecanizado CNC o de cantos). Las máquinas de HOMAG conectadas a tapio pueden enviar automáticamente información sobre el progreso de la producción a productionManager.</w:t>
      </w:r>
    </w:p>
    <w:p w14:paraId="1E80493B" w14:textId="61230FEF" w:rsidR="00EA4974" w:rsidRDefault="008F3291">
      <w:r>
        <w:t xml:space="preserve">intelliDivide calcula automáticamente los planos de corte para las sierras o los planos de </w:t>
      </w:r>
      <w:proofErr w:type="spellStart"/>
      <w:r>
        <w:t>nesting</w:t>
      </w:r>
      <w:proofErr w:type="spellEnd"/>
      <w:r>
        <w:t xml:space="preserve"> para las máquinas CNC y ofrece la particularidad de poder calcular simultáneamente varias soluciones alternativas de forma que se reduzcan lo máximo </w:t>
      </w:r>
      <w:proofErr w:type="gramStart"/>
      <w:r>
        <w:t>posible aspectos</w:t>
      </w:r>
      <w:proofErr w:type="gramEnd"/>
      <w:r>
        <w:t xml:space="preserve"> como los retales, los costes de material o el tiempo de producción. De esta forma, el usuario puede seleccionar el resultado que más le convenga.</w:t>
      </w:r>
    </w:p>
    <w:p w14:paraId="4527C5BB" w14:textId="64408168" w:rsidR="002D6384" w:rsidRDefault="00FA51FC" w:rsidP="00EF4831">
      <w:r>
        <w:rPr>
          <w:noProof/>
        </w:rPr>
        <w:drawing>
          <wp:inline distT="0" distB="0" distL="0" distR="0" wp14:anchorId="19B15F0E" wp14:editId="4A97D854">
            <wp:extent cx="6086476" cy="40576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86496" cy="4057663"/>
                    </a:xfrm>
                    <a:prstGeom prst="rect">
                      <a:avLst/>
                    </a:prstGeom>
                  </pic:spPr>
                </pic:pic>
              </a:graphicData>
            </a:graphic>
          </wp:inline>
        </w:drawing>
      </w:r>
    </w:p>
    <w:p w14:paraId="570146F5" w14:textId="77777777" w:rsidR="005861A4" w:rsidRDefault="005861A4" w:rsidP="002D6384">
      <w:pPr>
        <w:pStyle w:val="Titel"/>
      </w:pPr>
    </w:p>
    <w:p w14:paraId="555012B4" w14:textId="77777777" w:rsidR="005861A4" w:rsidRDefault="005861A4" w:rsidP="002D6384">
      <w:pPr>
        <w:pStyle w:val="Titel"/>
      </w:pPr>
    </w:p>
    <w:p w14:paraId="6C37CD60" w14:textId="77777777" w:rsidR="005861A4" w:rsidRDefault="005861A4" w:rsidP="002D6384">
      <w:pPr>
        <w:pStyle w:val="Titel"/>
      </w:pPr>
    </w:p>
    <w:p w14:paraId="1EE6DF28" w14:textId="77777777" w:rsidR="005861A4" w:rsidRDefault="005861A4" w:rsidP="002D6384">
      <w:pPr>
        <w:pStyle w:val="Titel"/>
      </w:pPr>
    </w:p>
    <w:p w14:paraId="5136DC5A" w14:textId="77777777" w:rsidR="005861A4" w:rsidRDefault="005861A4" w:rsidP="002D6384">
      <w:pPr>
        <w:pStyle w:val="Titel"/>
      </w:pPr>
    </w:p>
    <w:p w14:paraId="27BBE207" w14:textId="1A0BC951" w:rsidR="002D6384" w:rsidRDefault="002D6384" w:rsidP="002D6384">
      <w:pPr>
        <w:pStyle w:val="Titel"/>
        <w:rPr>
          <w:b w:val="0"/>
          <w:bCs/>
        </w:rPr>
      </w:pPr>
      <w:r>
        <w:t xml:space="preserve">Imagen 1: </w:t>
      </w:r>
      <w:r>
        <w:rPr>
          <w:b w:val="0"/>
        </w:rPr>
        <w:t>Empiece a construir armarios de forma inteligente, sencilla y rápida con SmartWOP</w:t>
      </w:r>
    </w:p>
    <w:p w14:paraId="3C51144A" w14:textId="77777777" w:rsidR="002015DE" w:rsidRPr="002015DE" w:rsidRDefault="002015DE" w:rsidP="002015DE"/>
    <w:p w14:paraId="0F519028" w14:textId="0A37FAC5" w:rsidR="00F2656D" w:rsidRDefault="00F2656D" w:rsidP="00F2656D">
      <w:pPr>
        <w:pStyle w:val="KeinLeerraum"/>
      </w:pPr>
      <w:r>
        <w:t>Imágenes</w:t>
      </w:r>
    </w:p>
    <w:p w14:paraId="0F519029" w14:textId="77777777" w:rsidR="00F2656D" w:rsidRDefault="00F2656D" w:rsidP="00F2656D">
      <w:pPr>
        <w:pStyle w:val="KeinLeerraum"/>
        <w:rPr>
          <w:b w:val="0"/>
        </w:rPr>
      </w:pPr>
      <w:r>
        <w:rPr>
          <w:b w:val="0"/>
        </w:rPr>
        <w:t>Fuente de las imágenes: HOMAG </w:t>
      </w:r>
      <w:proofErr w:type="spellStart"/>
      <w:r>
        <w:rPr>
          <w:b w:val="0"/>
        </w:rPr>
        <w:t>Group</w:t>
      </w:r>
      <w:proofErr w:type="spellEnd"/>
      <w:r>
        <w:rPr>
          <w:b w:val="0"/>
        </w:rPr>
        <w:t> AG</w:t>
      </w: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w:t>
      </w:r>
      <w:proofErr w:type="spellStart"/>
      <w:r>
        <w:rPr>
          <w:b/>
        </w:rPr>
        <w:t>Group</w:t>
      </w:r>
      <w:proofErr w:type="spellEnd"/>
      <w:r>
        <w:rPr>
          <w:b/>
        </w:rPr>
        <w:t>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127C5A" w:rsidRDefault="00F2656D" w:rsidP="008547A0">
      <w:pPr>
        <w:pStyle w:val="Untertitel"/>
      </w:pPr>
      <w:r>
        <w:t>www.homag.com</w:t>
      </w:r>
    </w:p>
    <w:p w14:paraId="0F519043" w14:textId="77777777" w:rsidR="00F2656D" w:rsidRPr="00FA51FC" w:rsidRDefault="00F2656D" w:rsidP="008547A0">
      <w:pPr>
        <w:pStyle w:val="Untertitel"/>
      </w:pPr>
    </w:p>
    <w:p w14:paraId="0F519044" w14:textId="77777777" w:rsidR="00F2656D" w:rsidRPr="00FA51FC" w:rsidRDefault="00F2656D" w:rsidP="008547A0">
      <w:pPr>
        <w:pStyle w:val="Untertitel"/>
      </w:pPr>
    </w:p>
    <w:p w14:paraId="0F519045" w14:textId="1B4261FF" w:rsidR="00F12542" w:rsidRPr="00CC7E48" w:rsidRDefault="00F12542" w:rsidP="008547A0">
      <w:pPr>
        <w:pStyle w:val="Untertitel"/>
        <w:rPr>
          <w:b/>
        </w:rPr>
      </w:pPr>
      <w:r>
        <w:rPr>
          <w:b/>
        </w:rPr>
        <w:t>Sra. Dejana Stevic</w:t>
      </w:r>
    </w:p>
    <w:p w14:paraId="0F519046" w14:textId="6EADB819" w:rsidR="00F12542" w:rsidRPr="00D743CB" w:rsidRDefault="00446974" w:rsidP="008547A0">
      <w:pPr>
        <w:pStyle w:val="Untertitel"/>
      </w:pPr>
      <w:r>
        <w:rPr>
          <w:rFonts w:eastAsia="Times New Roman" w:cs="Arial"/>
          <w:color w:val="000001"/>
        </w:rPr>
        <w:t xml:space="preserve">Digital </w:t>
      </w:r>
      <w:proofErr w:type="spellStart"/>
      <w:r>
        <w:rPr>
          <w:rFonts w:eastAsia="Times New Roman" w:cs="Arial"/>
          <w:color w:val="000001"/>
        </w:rPr>
        <w:t>Product</w:t>
      </w:r>
      <w:proofErr w:type="spellEnd"/>
      <w:r>
        <w:rPr>
          <w:rFonts w:eastAsia="Times New Roman" w:cs="Arial"/>
          <w:color w:val="000001"/>
        </w:rPr>
        <w:t xml:space="preserve"> </w:t>
      </w:r>
      <w:proofErr w:type="spellStart"/>
      <w:r>
        <w:rPr>
          <w:rFonts w:eastAsia="Times New Roman" w:cs="Arial"/>
          <w:color w:val="000001"/>
        </w:rPr>
        <w:t>Innovation</w:t>
      </w:r>
      <w:proofErr w:type="spellEnd"/>
    </w:p>
    <w:p w14:paraId="0F519048" w14:textId="1AA0EBD6" w:rsidR="00F12542" w:rsidRPr="00446974" w:rsidRDefault="00F12542" w:rsidP="008547A0">
      <w:pPr>
        <w:pStyle w:val="Untertitel"/>
      </w:pPr>
      <w:r>
        <w:t>Tel.</w:t>
      </w:r>
      <w:r>
        <w:tab/>
        <w:t> +49 173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3487" w14:textId="77777777" w:rsidR="00C84ECA" w:rsidRDefault="00C84ECA">
      <w:r>
        <w:separator/>
      </w:r>
    </w:p>
  </w:endnote>
  <w:endnote w:type="continuationSeparator" w:id="0">
    <w:p w14:paraId="51C95AEA" w14:textId="77777777" w:rsidR="00C84ECA" w:rsidRDefault="00C84ECA">
      <w:r>
        <w:continuationSeparator/>
      </w:r>
    </w:p>
  </w:endnote>
  <w:endnote w:type="continuationNotice" w:id="1">
    <w:p w14:paraId="1C344A02" w14:textId="77777777" w:rsidR="00C84ECA" w:rsidRDefault="00C84E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B65DB" w14:textId="77777777" w:rsidR="00C84ECA" w:rsidRDefault="00C84ECA">
      <w:r>
        <w:separator/>
      </w:r>
    </w:p>
  </w:footnote>
  <w:footnote w:type="continuationSeparator" w:id="0">
    <w:p w14:paraId="5A3D417B" w14:textId="77777777" w:rsidR="00C84ECA" w:rsidRDefault="00C84ECA">
      <w:r>
        <w:continuationSeparator/>
      </w:r>
    </w:p>
  </w:footnote>
  <w:footnote w:type="continuationNotice" w:id="1">
    <w:p w14:paraId="2FAA102B" w14:textId="77777777" w:rsidR="00C84ECA" w:rsidRDefault="00C84E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Digitalización</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814FC"/>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1A4"/>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84ECA"/>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A51FC"/>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4641</Characters>
  <Application>Microsoft Office Word</Application>
  <DocSecurity>0</DocSecurity>
  <Lines>38</Lines>
  <Paragraphs>10</Paragraphs>
  <ScaleCrop>false</ScaleCrop>
  <Company>HOMAG Maschinenbau AG</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131</cp:revision>
  <cp:lastPrinted>2023-02-22T08:06:00Z</cp:lastPrinted>
  <dcterms:created xsi:type="dcterms:W3CDTF">2022-08-03T02:30:00Z</dcterms:created>
  <dcterms:modified xsi:type="dcterms:W3CDTF">2023-03-27T12:39:00Z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