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E7694" w14:textId="49E69EAB" w:rsidR="005F3DBD" w:rsidRDefault="00764F78" w:rsidP="005F3DBD">
      <w:pPr>
        <w:pStyle w:val="berschrift1"/>
        <w:rPr>
          <w:sz w:val="24"/>
          <w:szCs w:val="24"/>
          <w:rFonts w:ascii="Times New Roman" w:hAnsi="Times New Roman"/>
        </w:rPr>
      </w:pPr>
      <w:r>
        <w:t xml:space="preserve">3 funções em apenas 1 m²: </w:t>
        <w:br/>
        <w:t xml:space="preserve">manuseamento de PUR com a XES 200</w:t>
      </w:r>
    </w:p>
    <w:p w14:paraId="144DC4E4" w14:textId="060C13BF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O que fazem os marceneiros, os designers de interiores e os fornecedores com os recipientes de cola ou a unidade de aplicação durante o fim-de-semana ou durante a mudança de cor?</w:t>
      </w:r>
      <w:r>
        <w:rPr>
          <w:color w:val="000000"/>
        </w:rPr>
        <w:t xml:space="preserve"> </w:t>
      </w:r>
      <w:r>
        <w:rPr>
          <w:color w:val="000000"/>
        </w:rPr>
        <w:t xml:space="preserve">Qual a melhor forma de armazenar a unidade de aplicação, para conservar durante mais dias?</w:t>
      </w:r>
      <w:r>
        <w:rPr>
          <w:color w:val="000000"/>
        </w:rPr>
        <w:br/>
      </w:r>
      <w:r>
        <w:rPr>
          <w:color w:val="000000"/>
        </w:rPr>
        <w:t xml:space="preserve">Os especialistas em orlas da HOMAG tiveram uma ideia inteligente: a estação de assistência XES 200.</w:t>
      </w:r>
    </w:p>
    <w:p w14:paraId="0806BE4E" w14:textId="156C169E" w:rsidR="005F3DBD" w:rsidRDefault="000777ED" w:rsidP="005F3DBD">
      <w:pPr>
        <w:rPr>
          <w:color w:val="000000"/>
        </w:rPr>
      </w:pPr>
      <w:r>
        <w:rPr>
          <w:color w:val="000000"/>
        </w:rPr>
        <w:t xml:space="preserve">As funcionalidades do talento multifacetado vão muito além do objectivo real de armazenamento.</w:t>
      </w:r>
      <w:r>
        <w:rPr>
          <w:color w:val="000000"/>
        </w:rPr>
        <w:t xml:space="preserve"> </w:t>
      </w:r>
      <w:r>
        <w:rPr>
          <w:color w:val="000000"/>
        </w:rPr>
        <w:t xml:space="preserve">Além disso, o utilizador pode utilizar a estação para fazer a limpeza da unidade de aplicação e para pré-aquecer para futuros passos de trabalho.</w:t>
      </w:r>
      <w:r>
        <w:rPr>
          <w:color w:val="000000"/>
        </w:rPr>
        <w:t xml:space="preserve"> </w:t>
      </w:r>
      <w:r>
        <w:rPr>
          <w:color w:val="000000"/>
        </w:rPr>
        <w:t xml:space="preserve">Assim, o utilizador poupa tempo valioso e consegue optimizar os seus processos.</w:t>
      </w:r>
    </w:p>
    <w:p w14:paraId="6B84B139" w14:textId="5045C213" w:rsidR="00B96801" w:rsidRDefault="00B96801" w:rsidP="00B96801">
      <w:pPr>
        <w:pStyle w:val="berschrift3"/>
      </w:pPr>
      <w:r>
        <w:t xml:space="preserve">Conservar a cola PUR: uma questão delicada</w:t>
      </w:r>
    </w:p>
    <w:p w14:paraId="05BF5A88" w14:textId="05F30DD3" w:rsidR="005F3DBD" w:rsidRDefault="00B96801" w:rsidP="005F3DBD">
      <w:pPr>
        <w:rPr>
          <w:color w:val="000000"/>
        </w:rPr>
      </w:pPr>
      <w:r>
        <w:rPr>
          <w:color w:val="000000"/>
        </w:rPr>
        <w:t xml:space="preserve">O endurecimento das colas PUR ao ar tem sido sempre uma questão central.</w:t>
      </w:r>
      <w:r>
        <w:rPr>
          <w:color w:val="000000"/>
        </w:rPr>
        <w:t xml:space="preserve"> </w:t>
      </w:r>
      <w:r>
        <w:rPr>
          <w:color w:val="000000"/>
        </w:rPr>
        <w:t xml:space="preserve">Isto deveria ser evitado para não desperdiçar material (cola) e para evitar a inutilidade das unidades de aplicação após o endurecimento.</w:t>
      </w:r>
      <w:r>
        <w:rPr>
          <w:color w:val="000000"/>
        </w:rPr>
        <w:t xml:space="preserve"> </w:t>
      </w:r>
      <w:r>
        <w:t xml:space="preserve">Uma possibilidade é a alimentação de nitrogénio e outra é a utilização de uma bomba de vácuo constantemente a trabalhar.</w:t>
      </w:r>
      <w:r>
        <w:t xml:space="preserve"> </w:t>
      </w:r>
      <w:r>
        <w:t xml:space="preserve">Mas era exactamente isto que a HOMAG não queria.</w:t>
      </w:r>
      <w:r>
        <w:t xml:space="preserve"> </w:t>
        <w:br/>
      </w:r>
      <w:r>
        <w:t xml:space="preserve">Graças à utilização de um “bico Venturi”, que aspira o ar do recipiente de vácuo, é possível gerar vácuo sem a bomba de vácuo.</w:t>
      </w:r>
      <w:r>
        <w:t xml:space="preserve"> </w:t>
      </w:r>
      <w:r>
        <w:t xml:space="preserve">Para o armazenamento durante o fim-de-semana, não é necessário ligar a estação ao ar comprimido ou à rede eléctrica.</w:t>
      </w:r>
      <w:r>
        <w:t xml:space="preserve"> </w:t>
        <w:br/>
      </w:r>
      <w:r>
        <w:t xml:space="preserve">Assim, o oxigénio no interior dos dois recipientes de vácuo (reservatórios sob pressão) fica reduzido.</w:t>
      </w:r>
      <w:r>
        <w:t xml:space="preserve"> </w:t>
      </w:r>
      <w:r>
        <w:t xml:space="preserve">O armazenamento da unidade de aplicação QA 65 N ou do recipiente de troca da unidade de fusão PUR pode ser feito facilmente.</w:t>
      </w:r>
      <w:r>
        <w:t xml:space="preserve"> </w:t>
      </w:r>
      <w:r>
        <w:t xml:space="preserve">Evita-se o endurecimento e o trabalho pode prosseguir facilmente na segunda-feira.</w:t>
      </w:r>
    </w:p>
    <w:p w14:paraId="1900BC9F" w14:textId="4DBA61DB" w:rsidR="005F3DBD" w:rsidRDefault="00B96801" w:rsidP="00B96801">
      <w:pPr>
        <w:pStyle w:val="berschrift3"/>
      </w:pPr>
      <w:r>
        <w:t xml:space="preserve">Pré-aquecimento: programado com precisão</w:t>
      </w:r>
    </w:p>
    <w:p w14:paraId="4C50CF7E" w14:textId="77777777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Ninguém tem tempo a perder e, por isso, é importante preparar as unidades de aplicação e os recipientes de troca para a sua utilização na máquina de colagem de orlas, após o seu armazenamento perfeitamente programado.</w:t>
      </w:r>
      <w:r>
        <w:rPr>
          <w:color w:val="000000"/>
        </w:rPr>
        <w:t xml:space="preserve"> </w:t>
      </w:r>
      <w:r>
        <w:rPr>
          <w:color w:val="000000"/>
        </w:rPr>
        <w:t xml:space="preserve">A XES tem 2 dispositivos de fixação.</w:t>
      </w:r>
      <w:r>
        <w:rPr>
          <w:color w:val="000000"/>
        </w:rPr>
        <w:t xml:space="preserve"> </w:t>
      </w:r>
      <w:r>
        <w:rPr>
          <w:color w:val="000000"/>
        </w:rPr>
        <w:t xml:space="preserve">Um está equipado com um accionamento do rolo de cola e um regulador de temperatura.</w:t>
      </w:r>
      <w:r>
        <w:rPr>
          <w:color w:val="000000"/>
        </w:rPr>
        <w:t xml:space="preserve"> </w:t>
      </w:r>
      <w:r>
        <w:rPr>
          <w:color w:val="000000"/>
        </w:rPr>
        <w:t xml:space="preserve">Aqui, a unidade de aplicação pode ser pré-aquecida à temperatura necessária entre o armazenamento e o arranque na máquina.</w:t>
      </w:r>
      <w:r>
        <w:rPr>
          <w:color w:val="000000"/>
        </w:rPr>
        <w:t xml:space="preserve"> </w:t>
      </w:r>
      <w:r>
        <w:rPr>
          <w:color w:val="000000"/>
        </w:rPr>
        <w:t xml:space="preserve">Não há perda de tempo na troca e a produção pode prosseguir sem grandes interrupções.</w:t>
      </w:r>
      <w:r>
        <w:rPr>
          <w:color w:val="000000"/>
        </w:rPr>
        <w:t xml:space="preserve"> </w:t>
      </w:r>
    </w:p>
    <w:p w14:paraId="5334E34C" w14:textId="7014172D" w:rsidR="005F3DBD" w:rsidRDefault="00B96801" w:rsidP="00B96801">
      <w:pPr>
        <w:pStyle w:val="berschrift3"/>
      </w:pPr>
      <w:r>
        <w:t xml:space="preserve">Mudança de cola?</w:t>
      </w:r>
      <w:r>
        <w:t xml:space="preserve"> </w:t>
      </w:r>
      <w:r>
        <w:t xml:space="preserve">Limpeza com um toque num botão</w:t>
      </w:r>
    </w:p>
    <w:p w14:paraId="2424540C" w14:textId="77777777" w:rsidR="0047204A" w:rsidRDefault="005F3DBD" w:rsidP="005F3DBD">
      <w:pPr>
        <w:rPr>
          <w:color w:val="000000"/>
        </w:rPr>
      </w:pPr>
      <w:r>
        <w:rPr>
          <w:color w:val="000000"/>
        </w:rPr>
        <w:t xml:space="preserve">O accionamento do rolo de cola e o regulador de temperatura para as unidades de aplicação também podem ser utilizados para a limpeza.</w:t>
      </w:r>
      <w:r>
        <w:rPr>
          <w:color w:val="000000"/>
        </w:rPr>
        <w:t xml:space="preserve"> </w:t>
      </w:r>
      <w:r>
        <w:rPr>
          <w:color w:val="000000"/>
        </w:rPr>
        <w:t xml:space="preserve">Quer seja na troca de cor ou na mudança de cola PUR para cola EVA, é necessário limpar a unidade de aplicação.</w:t>
      </w:r>
      <w:r>
        <w:rPr>
          <w:color w:val="000000"/>
        </w:rPr>
        <w:t xml:space="preserve"> </w:t>
        <w:br/>
      </w:r>
      <w:r>
        <w:rPr>
          <w:color w:val="000000"/>
        </w:rPr>
        <w:t xml:space="preserve">Para poupar este processo na máquina e, assim, poder continuar a produzir, também é possível esvaziar a unidade de aplicação com a XES 200.</w:t>
      </w:r>
      <w:r>
        <w:rPr>
          <w:color w:val="000000"/>
        </w:rPr>
        <w:t xml:space="preserve"> </w:t>
      </w:r>
      <w:r>
        <w:rPr>
          <w:color w:val="000000"/>
        </w:rPr>
        <w:t xml:space="preserve">Deste modo, é possível iniciar um processo de esvaziamento automático com um simples toque num botão.</w:t>
      </w:r>
    </w:p>
    <w:p w14:paraId="2F00C23D" w14:textId="6244A72C" w:rsidR="005F3DBD" w:rsidRDefault="0047204A" w:rsidP="0047204A">
      <w:pPr>
        <w:pStyle w:val="berschrift3"/>
      </w:pPr>
      <w:r>
        <w:t xml:space="preserve">Manuseamento simples em apenas 1 m²</w:t>
      </w:r>
    </w:p>
    <w:p w14:paraId="4B2859A7" w14:textId="239AC281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Para além das vastas opções de utilização, a XES 200 também convence pelo seu manuseamento fácil.</w:t>
      </w:r>
      <w:r>
        <w:rPr>
          <w:color w:val="000000"/>
        </w:rPr>
        <w:t xml:space="preserve"> </w:t>
      </w:r>
      <w:r>
        <w:rPr>
          <w:color w:val="000000"/>
        </w:rPr>
        <w:t xml:space="preserve">Só é necessário ar comprimido e alimentação eléctrica.</w:t>
      </w:r>
      <w:r>
        <w:rPr>
          <w:color w:val="000000"/>
        </w:rPr>
        <w:t xml:space="preserve"> </w:t>
      </w:r>
      <w:r>
        <w:rPr>
          <w:color w:val="000000"/>
        </w:rPr>
        <w:t xml:space="preserve">A estação móvel de rolos pode ser utilizada de modo universal e flexível na máquina pretendida.</w:t>
      </w:r>
      <w:r>
        <w:rPr>
          <w:color w:val="000000"/>
        </w:rPr>
        <w:t xml:space="preserve"> </w:t>
      </w:r>
      <w:r>
        <w:rPr>
          <w:color w:val="000000"/>
        </w:rPr>
        <w:t xml:space="preserve">Graças à sua pequena área inferior a 1m², cabe em qualquer lugar e pode ser utilizada fácil e directamente na máquina.</w:t>
      </w:r>
      <w:r>
        <w:rPr>
          <w:color w:val="000000"/>
        </w:rPr>
        <w:br/>
      </w:r>
      <w:r>
        <w:rPr>
          <w:color w:val="000000"/>
        </w:rPr>
        <w:t xml:space="preserve">Quer para máquinas novas como também para as máquinas existentes, a XES 200 representa uma simplificação no manuseamento PUR.</w:t>
      </w:r>
      <w:r>
        <w:rPr>
          <w:color w:val="000000"/>
        </w:rPr>
        <w:t xml:space="preserve"> </w:t>
      </w:r>
    </w:p>
    <w:p w14:paraId="5B3545DB" w14:textId="268B0D20" w:rsidR="0047204A" w:rsidRDefault="005F3DBD" w:rsidP="00472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color w:val="000000"/>
          <w:rFonts w:ascii="NimbusSanL" w:hAnsi="NimbusSanL" w:cs="NimbusSanL"/>
        </w:rPr>
        <w:drawing>
          <wp:inline distT="0" distB="0" distL="0" distR="0" wp14:anchorId="07F1368A" wp14:editId="4BC5FD10">
            <wp:extent cx="2943628" cy="2737262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station_P1050664_frei-weiss-RGB-72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92" cy="273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CB4F" w14:textId="77777777" w:rsidR="005F3DBD" w:rsidRPr="00753E13" w:rsidRDefault="005F3DBD" w:rsidP="0047204A">
      <w:pPr>
        <w:pStyle w:val="Titel"/>
      </w:pPr>
      <w:r>
        <w:t xml:space="preserve">Imagem: </w:t>
      </w:r>
      <w:r>
        <w:rPr>
          <w:b w:val="0"/>
        </w:rPr>
        <w:t xml:space="preserve">estação de assistência XES 200</w:t>
      </w:r>
    </w:p>
    <w:p w14:paraId="30156CFE" w14:textId="0C5D3A37" w:rsidR="0047204A" w:rsidRDefault="0047204A">
      <w:pPr>
        <w:widowControl/>
        <w:spacing w:after="0" w:line="240" w:lineRule="auto"/>
        <w:rPr>
          <w:rFonts w:ascii="NimbusSanL" w:hAnsi="NimbusSanL" w:cs="NimbusSanL"/>
          <w:color w:val="000000"/>
        </w:rPr>
      </w:pPr>
    </w:p>
    <w:p w14:paraId="2A5C347A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0DCC49D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Imagens</w:t>
      </w:r>
    </w:p>
    <w:p w14:paraId="7138A6B9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Fonte do material gráfico: HOMAG Kantentechnik GmbH</w:t>
      </w:r>
      <w:r>
        <w:rPr>
          <w:color w:val="000000"/>
          <w:rFonts w:ascii="NimbusSanL" w:hAnsi="NimbusSanL" w:cs="NimbusSanL"/>
        </w:rPr>
        <w:t xml:space="preserve"> </w:t>
      </w:r>
    </w:p>
    <w:p w14:paraId="2560F23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13389D6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BD441" w14:textId="77777777" w:rsidR="005F3DBD" w:rsidRDefault="005F3DBD" w:rsidP="005F3DB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</w:rPr>
      </w:pPr>
    </w:p>
    <w:p w14:paraId="410ABF4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rFonts w:ascii="NimbusSanL" w:hAnsi="NimbusSanL" w:cs="NimbusSanL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5458851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5D68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0C350FA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Em caso de dúvidas, contacte:</w:t>
      </w:r>
    </w:p>
    <w:p w14:paraId="6AA756F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30C0D40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7093834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rFonts w:ascii="NimbusSanL" w:hAnsi="NimbusSanL" w:cs="NimbusSanL"/>
        </w:rPr>
        <w:t xml:space="preserve">HOMAG Kantentechnik GmbH</w:t>
      </w:r>
      <w:r>
        <w:rPr>
          <w:b/>
          <w:bCs/>
          <w:color w:val="000000"/>
          <w:rFonts w:ascii="NimbusSanL" w:hAnsi="NimbusSanL" w:cs="NimbusSanL"/>
        </w:rPr>
        <w:t xml:space="preserve"> </w:t>
      </w:r>
    </w:p>
    <w:p w14:paraId="66215B51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Weststraße 2</w:t>
      </w:r>
    </w:p>
    <w:p w14:paraId="28B928BD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32657 Lemgo</w:t>
      </w:r>
    </w:p>
    <w:p w14:paraId="625CAD3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Alemanha</w:t>
      </w:r>
    </w:p>
    <w:p w14:paraId="186E90B8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www.homag.com</w:t>
      </w:r>
    </w:p>
    <w:p w14:paraId="64B2A5FA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34965E6F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07B19069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Ulf Horstmann</w:t>
      </w:r>
    </w:p>
    <w:p w14:paraId="41FDB595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1"/>
        </w:rPr>
        <w:t xml:space="preserve">Product Marketing</w:t>
      </w:r>
    </w:p>
    <w:p w14:paraId="3D2BD9C4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Tel. +49 5261 974 57208</w:t>
      </w:r>
    </w:p>
    <w:p w14:paraId="564DF65D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ulf.horstmann@homag.com</w:t>
      </w:r>
    </w:p>
    <w:sectPr w:rsidR="005F3DBD" w:rsidRPr="008670A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71EF" w14:textId="77777777" w:rsidR="00BD3D69" w:rsidRDefault="00BD3D69">
      <w:r>
        <w:separator/>
      </w:r>
    </w:p>
  </w:endnote>
  <w:endnote w:type="continuationSeparator" w:id="0">
    <w:p w14:paraId="04FA0176" w14:textId="77777777" w:rsidR="00BD3D69" w:rsidRDefault="00B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14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92AE" w14:textId="77777777" w:rsidR="00BD3D69" w:rsidRDefault="00BD3D69">
      <w:r>
        <w:separator/>
      </w:r>
    </w:p>
  </w:footnote>
  <w:footnote w:type="continuationSeparator" w:id="0">
    <w:p w14:paraId="515C4126" w14:textId="77777777" w:rsidR="00BD3D69" w:rsidRDefault="00BD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0D" w14:textId="5384E74F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Antevisão da imprensa: HOMAG Treff 2018</w:t>
    </w:r>
    <w:r>
      <w:rPr>
        <w:b/>
        <w:sz w:val="28"/>
      </w:rPr>
      <w:tab/>
    </w:r>
    <w:r>
      <w:drawing>
        <wp:inline distT="0" distB="0" distL="0" distR="0" wp14:anchorId="3E368415" wp14:editId="3E368416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3E368412" w14:textId="77777777" w:rsidTr="00C74CDC">
      <w:tc>
        <w:tcPr>
          <w:tcW w:w="3402" w:type="dxa"/>
        </w:tcPr>
        <w:p w14:paraId="497EC782" w14:textId="77777777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3E36840F" w14:textId="77777777" w:rsidR="00CA4276" w:rsidRDefault="00CA4276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3E368410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3E368411" w14:textId="4FDF6DA9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Agosto 2018</w:t>
          </w:r>
        </w:p>
      </w:tc>
    </w:tr>
  </w:tbl>
  <w:p w14:paraId="3E368413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8054F75"/>
    <w:multiLevelType w:val="hybridMultilevel"/>
    <w:tmpl w:val="A4D86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0D70FE"/>
    <w:multiLevelType w:val="hybridMultilevel"/>
    <w:tmpl w:val="FC88B2F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9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8"/>
  </w:num>
  <w:num w:numId="5">
    <w:abstractNumId w:val="26"/>
  </w:num>
  <w:num w:numId="6">
    <w:abstractNumId w:val="15"/>
  </w:num>
  <w:num w:numId="7">
    <w:abstractNumId w:val="16"/>
  </w:num>
  <w:num w:numId="8">
    <w:abstractNumId w:val="20"/>
  </w:num>
  <w:num w:numId="9">
    <w:abstractNumId w:val="22"/>
  </w:num>
  <w:num w:numId="10">
    <w:abstractNumId w:val="27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8"/>
  </w:num>
  <w:num w:numId="18">
    <w:abstractNumId w:val="14"/>
  </w:num>
  <w:num w:numId="19">
    <w:abstractNumId w:val="29"/>
  </w:num>
  <w:num w:numId="20">
    <w:abstractNumId w:val="24"/>
  </w:num>
  <w:num w:numId="21">
    <w:abstractNumId w:val="32"/>
  </w:num>
  <w:num w:numId="22">
    <w:abstractNumId w:val="3"/>
  </w:num>
  <w:num w:numId="23">
    <w:abstractNumId w:val="9"/>
  </w:num>
  <w:num w:numId="24">
    <w:abstractNumId w:val="11"/>
  </w:num>
  <w:num w:numId="25">
    <w:abstractNumId w:val="33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5"/>
  </w:num>
  <w:num w:numId="32">
    <w:abstractNumId w:val="30"/>
  </w:num>
  <w:num w:numId="33">
    <w:abstractNumId w:val="31"/>
  </w:num>
  <w:num w:numId="34">
    <w:abstractNumId w:val="10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77ED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691D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512"/>
    <w:rsid w:val="001F6AB9"/>
    <w:rsid w:val="00213A46"/>
    <w:rsid w:val="0022697A"/>
    <w:rsid w:val="002560A1"/>
    <w:rsid w:val="00257269"/>
    <w:rsid w:val="00262EF5"/>
    <w:rsid w:val="00271035"/>
    <w:rsid w:val="00272217"/>
    <w:rsid w:val="00274D1F"/>
    <w:rsid w:val="00276C42"/>
    <w:rsid w:val="002A19F6"/>
    <w:rsid w:val="002A557A"/>
    <w:rsid w:val="003014A3"/>
    <w:rsid w:val="00301904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7204A"/>
    <w:rsid w:val="00476502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3F52"/>
    <w:rsid w:val="005A5380"/>
    <w:rsid w:val="005B6CF2"/>
    <w:rsid w:val="005C623C"/>
    <w:rsid w:val="005D2F26"/>
    <w:rsid w:val="005D59E6"/>
    <w:rsid w:val="005F022F"/>
    <w:rsid w:val="005F3DBD"/>
    <w:rsid w:val="005F3F60"/>
    <w:rsid w:val="006143F9"/>
    <w:rsid w:val="00623204"/>
    <w:rsid w:val="0066716B"/>
    <w:rsid w:val="00680042"/>
    <w:rsid w:val="00697D14"/>
    <w:rsid w:val="006C15C6"/>
    <w:rsid w:val="006C2BA0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64F78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62FA4"/>
    <w:rsid w:val="00891766"/>
    <w:rsid w:val="008B07C0"/>
    <w:rsid w:val="008C0447"/>
    <w:rsid w:val="008E7DE4"/>
    <w:rsid w:val="009051A1"/>
    <w:rsid w:val="009178FE"/>
    <w:rsid w:val="00920D02"/>
    <w:rsid w:val="0093011B"/>
    <w:rsid w:val="009368F5"/>
    <w:rsid w:val="00944CAE"/>
    <w:rsid w:val="009479AC"/>
    <w:rsid w:val="00957FB2"/>
    <w:rsid w:val="0097733B"/>
    <w:rsid w:val="009A1B07"/>
    <w:rsid w:val="009A4FA6"/>
    <w:rsid w:val="009C58AA"/>
    <w:rsid w:val="009C73C6"/>
    <w:rsid w:val="009E15B5"/>
    <w:rsid w:val="009E1B64"/>
    <w:rsid w:val="009F1FE2"/>
    <w:rsid w:val="009F50FD"/>
    <w:rsid w:val="00A04D46"/>
    <w:rsid w:val="00A071AD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96801"/>
    <w:rsid w:val="00BA3C3F"/>
    <w:rsid w:val="00BC229D"/>
    <w:rsid w:val="00BD3D69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A4276"/>
    <w:rsid w:val="00CB1588"/>
    <w:rsid w:val="00CD1E96"/>
    <w:rsid w:val="00CF622D"/>
    <w:rsid w:val="00D0150A"/>
    <w:rsid w:val="00D043C0"/>
    <w:rsid w:val="00D05F12"/>
    <w:rsid w:val="00D071E6"/>
    <w:rsid w:val="00D113BA"/>
    <w:rsid w:val="00D25B51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6745"/>
    <w:rsid w:val="00DA7ADD"/>
    <w:rsid w:val="00DD063D"/>
    <w:rsid w:val="00DE114A"/>
    <w:rsid w:val="00DF2A9D"/>
    <w:rsid w:val="00E06B30"/>
    <w:rsid w:val="00E12832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10E6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368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pt-P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Ulf Horstmann</cp:lastModifiedBy>
  <cp:revision>4</cp:revision>
  <cp:lastPrinted>2018-04-19T05:24:00Z</cp:lastPrinted>
  <dcterms:created xsi:type="dcterms:W3CDTF">2018-08-13T13:07:00Z</dcterms:created>
  <dcterms:modified xsi:type="dcterms:W3CDTF">2018-08-15T12:23:00Z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