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E7694" w14:textId="49E69EAB" w:rsidR="005F3DBD" w:rsidRDefault="00764F78" w:rsidP="005F3DBD">
      <w:pPr>
        <w:pStyle w:val="berschrift1"/>
        <w:rPr>
          <w:sz w:val="24"/>
          <w:szCs w:val="24"/>
          <w:rFonts w:ascii="Times New Roman" w:hAnsi="Times New Roman"/>
        </w:rPr>
      </w:pPr>
      <w:r>
        <w:t xml:space="preserve">3 fonctions sur 1 m² : </w:t>
        <w:br/>
        <w:t xml:space="preserve">manipulation PUR avec la XES 200</w:t>
      </w:r>
    </w:p>
    <w:p w14:paraId="144DC4E4" w14:textId="060C13BF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Que font les menuisiers, les monteurs et les fournisseurs des récipients de colle ou des unités d'encollage pendant le week-end ou lors du changement de couleur ?</w:t>
      </w:r>
      <w:r>
        <w:rPr>
          <w:color w:val="000000"/>
        </w:rPr>
        <w:t xml:space="preserve"> </w:t>
      </w:r>
      <w:r>
        <w:rPr>
          <w:color w:val="000000"/>
        </w:rPr>
        <w:t xml:space="preserve">Comment stocker au mieux l'unité d’encollage pendant plusieurs jours ?</w:t>
      </w:r>
      <w:r>
        <w:rPr>
          <w:color w:val="000000"/>
        </w:rPr>
        <w:br/>
      </w:r>
      <w:r>
        <w:rPr>
          <w:color w:val="000000"/>
        </w:rPr>
        <w:t xml:space="preserve">Les spécialistes des chants HOMAG ont eu une idée intelligente : la station de service XES 200.</w:t>
      </w:r>
    </w:p>
    <w:p w14:paraId="0806BE4E" w14:textId="156C169E" w:rsidR="005F3DBD" w:rsidRDefault="000777ED" w:rsidP="005F3DBD">
      <w:pPr>
        <w:rPr>
          <w:color w:val="000000"/>
        </w:rPr>
      </w:pPr>
      <w:r>
        <w:rPr>
          <w:color w:val="000000"/>
        </w:rPr>
        <w:t xml:space="preserve">Les capacités opérationnelles de cette station polyvalente dépassent de loin son objectif premier, le stockage.</w:t>
      </w:r>
      <w:r>
        <w:rPr>
          <w:color w:val="000000"/>
        </w:rPr>
        <w:t xml:space="preserve"> </w:t>
      </w:r>
      <w:r>
        <w:rPr>
          <w:color w:val="000000"/>
        </w:rPr>
        <w:t xml:space="preserve">L'utilisateur peut également utiliser la station pour effectuer le nettoyage de l'unité d'encollage et la préchauffer pour les futures étapes de travail.</w:t>
      </w:r>
      <w:r>
        <w:rPr>
          <w:color w:val="000000"/>
        </w:rPr>
        <w:t xml:space="preserve"> </w:t>
      </w:r>
      <w:r>
        <w:rPr>
          <w:color w:val="000000"/>
        </w:rPr>
        <w:t xml:space="preserve">Cela fait gagner un temps précieux à l'utilisateur qui peut optimiser ses processus.</w:t>
      </w:r>
    </w:p>
    <w:p w14:paraId="6B84B139" w14:textId="5045C213" w:rsidR="00B96801" w:rsidRDefault="00B96801" w:rsidP="00B96801">
      <w:pPr>
        <w:pStyle w:val="berschrift3"/>
      </w:pPr>
      <w:r>
        <w:t xml:space="preserve">Conserver la colle PUR : une chose difficile</w:t>
      </w:r>
    </w:p>
    <w:p w14:paraId="05BF5A88" w14:textId="05F30DD3" w:rsidR="005F3DBD" w:rsidRDefault="00B96801" w:rsidP="005F3DBD">
      <w:pPr>
        <w:rPr>
          <w:color w:val="000000"/>
        </w:rPr>
      </w:pPr>
      <w:r>
        <w:rPr>
          <w:color w:val="000000"/>
        </w:rPr>
        <w:t xml:space="preserve">Le durcissement des colles PUR à l'air a toujours été une question clé.</w:t>
      </w:r>
      <w:r>
        <w:rPr>
          <w:color w:val="000000"/>
        </w:rPr>
        <w:t xml:space="preserve"> </w:t>
      </w:r>
      <w:r>
        <w:rPr>
          <w:color w:val="000000"/>
        </w:rPr>
        <w:t xml:space="preserve">Celui-ci doit être évité pour ne pas gaspiller de matière (colle) et pour empêcher que les unités d'encollage deviennent inutilisables.</w:t>
      </w:r>
      <w:r>
        <w:rPr>
          <w:color w:val="000000"/>
        </w:rPr>
        <w:t xml:space="preserve"> </w:t>
      </w:r>
      <w:r>
        <w:rPr>
          <w:color w:val="000000"/>
        </w:rPr>
        <w:t xml:space="preserve">Une des solutions consiste à ajouter de </w:t>
      </w:r>
      <w:r>
        <w:t xml:space="preserve">l’azote, une autre consiste à utiliser une pompe à vide à fonctionnement constant.</w:t>
      </w:r>
      <w:r>
        <w:t xml:space="preserve"> </w:t>
      </w:r>
      <w:r>
        <w:t xml:space="preserve">C’est justement ce que ne voulait pas HOMAG.</w:t>
      </w:r>
      <w:r>
        <w:t xml:space="preserve"> </w:t>
        <w:br/>
      </w:r>
      <w:r>
        <w:t xml:space="preserve">Grâce à l’utilisation d’une « buse venturi », qui aspire l'air du réservoir sous vide en une fois, un vide peut être généré sans pompe à vide.</w:t>
      </w:r>
      <w:r>
        <w:t xml:space="preserve"> </w:t>
      </w:r>
      <w:r>
        <w:t xml:space="preserve">Pour un stockage pendant le week-end, il n'est pas nécessaire de raccorder la station à l'air comprimé ou au réseau électrique.</w:t>
      </w:r>
      <w:r>
        <w:t xml:space="preserve"> </w:t>
        <w:br/>
      </w:r>
      <w:r>
        <w:t xml:space="preserve">Le fonctionnement interne des deux réservoirs sous vide (réservoirs sous pression) est ainsi réduit en oxygène.</w:t>
      </w:r>
      <w:r>
        <w:t xml:space="preserve"> </w:t>
      </w:r>
      <w:r>
        <w:t xml:space="preserve">Le stockage de l’unité d'encollage QA 65 N ou du réservoir de rechange de l’unité de fusion PUR peut s’effectuer sans problème.</w:t>
      </w:r>
      <w:r>
        <w:t xml:space="preserve"> </w:t>
      </w:r>
      <w:r>
        <w:t xml:space="preserve">Le durcissement est évité et le travail peut reprendre le lundi.</w:t>
      </w:r>
    </w:p>
    <w:p w14:paraId="1900BC9F" w14:textId="4DBA61DB" w:rsidR="005F3DBD" w:rsidRDefault="00B96801" w:rsidP="00B96801">
      <w:pPr>
        <w:pStyle w:val="berschrift3"/>
      </w:pPr>
      <w:r>
        <w:t xml:space="preserve">Préchauffage : programmé avec précision</w:t>
      </w:r>
    </w:p>
    <w:p w14:paraId="4C50CF7E" w14:textId="77777777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Personne n'a de temps à perdre et il est donc important de préparer précisément les unités d’encollage et les réservoirs de rechange en fonction de leur utilisation dans les plaqueuses de chants après leur stockage.</w:t>
      </w:r>
      <w:r>
        <w:rPr>
          <w:color w:val="000000"/>
        </w:rPr>
        <w:t xml:space="preserve"> </w:t>
      </w:r>
      <w:r>
        <w:rPr>
          <w:color w:val="000000"/>
        </w:rPr>
        <w:t xml:space="preserve">La XES a 2 dispositifs de maintien.</w:t>
      </w:r>
      <w:r>
        <w:rPr>
          <w:color w:val="000000"/>
        </w:rPr>
        <w:t xml:space="preserve"> </w:t>
      </w:r>
      <w:r>
        <w:rPr>
          <w:color w:val="000000"/>
        </w:rPr>
        <w:t xml:space="preserve">L’un d’entre eux est équipé d’un entraînement de rouleau encolleur et d'un thermostat.</w:t>
      </w:r>
      <w:r>
        <w:rPr>
          <w:color w:val="000000"/>
        </w:rPr>
        <w:t xml:space="preserve"> </w:t>
      </w:r>
      <w:r>
        <w:rPr>
          <w:color w:val="000000"/>
        </w:rPr>
        <w:t xml:space="preserve">L’unité d'encollage peut y être préchauffée à la température requise entre le stockage et le démarrage sur la machine.</w:t>
      </w:r>
      <w:r>
        <w:rPr>
          <w:color w:val="000000"/>
        </w:rPr>
        <w:t xml:space="preserve"> </w:t>
      </w:r>
      <w:r>
        <w:rPr>
          <w:color w:val="000000"/>
        </w:rPr>
        <w:t xml:space="preserve">Il n'y a pas de perte de temps lors de l'échange et la production peut être poursuivie après une interruption minimisée.</w:t>
      </w:r>
      <w:r>
        <w:rPr>
          <w:color w:val="000000"/>
        </w:rPr>
        <w:t xml:space="preserve"> </w:t>
      </w:r>
    </w:p>
    <w:p w14:paraId="5334E34C" w14:textId="7014172D" w:rsidR="005F3DBD" w:rsidRDefault="00B96801" w:rsidP="00B96801">
      <w:pPr>
        <w:pStyle w:val="berschrift3"/>
      </w:pPr>
      <w:r>
        <w:t xml:space="preserve">Changement de colle ?</w:t>
      </w:r>
      <w:r>
        <w:t xml:space="preserve"> </w:t>
      </w:r>
      <w:r>
        <w:t xml:space="preserve">Nettoyage d'une simple pression sur un bouton</w:t>
      </w:r>
    </w:p>
    <w:p w14:paraId="2424540C" w14:textId="77777777" w:rsidR="0047204A" w:rsidRDefault="005F3DBD" w:rsidP="005F3DBD">
      <w:pPr>
        <w:rPr>
          <w:color w:val="000000"/>
        </w:rPr>
      </w:pPr>
      <w:r>
        <w:rPr>
          <w:color w:val="000000"/>
        </w:rPr>
        <w:t xml:space="preserve">L’entraînement du rouleau encolleur et le thermostat pour unités d’encollage peuvent aussi être utilisés pour le nettoyage.</w:t>
      </w:r>
      <w:r>
        <w:rPr>
          <w:color w:val="000000"/>
        </w:rPr>
        <w:t xml:space="preserve"> </w:t>
      </w:r>
      <w:r>
        <w:rPr>
          <w:color w:val="000000"/>
        </w:rPr>
        <w:t xml:space="preserve">Que vous changiez de couleur ou que vous passiez de la colle PUR à la colle EVA, l'unité d'encollage doit être nettoyée.</w:t>
      </w:r>
      <w:r>
        <w:rPr>
          <w:color w:val="000000"/>
        </w:rPr>
        <w:t xml:space="preserve"> </w:t>
        <w:br/>
      </w:r>
      <w:r>
        <w:rPr>
          <w:color w:val="000000"/>
        </w:rPr>
        <w:t xml:space="preserve">Pour réduire ce processus dans la machine et pouvoir continuer la production, la XES 200 peut également être utilisée pour vider l’unité d’encollage.</w:t>
      </w:r>
      <w:r>
        <w:rPr>
          <w:color w:val="000000"/>
        </w:rPr>
        <w:t xml:space="preserve"> </w:t>
      </w:r>
      <w:r>
        <w:rPr>
          <w:color w:val="000000"/>
        </w:rPr>
        <w:t xml:space="preserve">Un processus de vidange automatique peut être lancé en appuyant simplement sur un bouton.</w:t>
      </w:r>
    </w:p>
    <w:p w14:paraId="2F00C23D" w14:textId="6244A72C" w:rsidR="005F3DBD" w:rsidRDefault="0047204A" w:rsidP="0047204A">
      <w:pPr>
        <w:pStyle w:val="berschrift3"/>
      </w:pPr>
      <w:r>
        <w:t xml:space="preserve">Manipulation aisée sur 1 m²</w:t>
      </w:r>
    </w:p>
    <w:p w14:paraId="4B2859A7" w14:textId="239AC281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En plus de ses multiples options d’utilisation, la XES 200 convainc par sa manipulation aisée.</w:t>
      </w:r>
      <w:r>
        <w:rPr>
          <w:color w:val="000000"/>
        </w:rPr>
        <w:t xml:space="preserve"> </w:t>
      </w:r>
      <w:r>
        <w:rPr>
          <w:color w:val="000000"/>
        </w:rPr>
        <w:t xml:space="preserve">Elle a juste besoin d’air comprimé et d’électricité.</w:t>
      </w:r>
      <w:r>
        <w:rPr>
          <w:color w:val="000000"/>
        </w:rPr>
        <w:t xml:space="preserve"> </w:t>
      </w:r>
      <w:r>
        <w:rPr>
          <w:color w:val="000000"/>
        </w:rPr>
        <w:t xml:space="preserve">La station mobile montée sur rouleaux peut être utilisée de manière universelle et flexible sur les machines de votre choix.</w:t>
      </w:r>
      <w:r>
        <w:rPr>
          <w:color w:val="000000"/>
        </w:rPr>
        <w:t xml:space="preserve"> </w:t>
      </w:r>
      <w:r>
        <w:rPr>
          <w:color w:val="000000"/>
        </w:rPr>
        <w:t xml:space="preserve">Grâce à sa petite surface de moins de 1 m², elle trouvera sa place partout et pourra facilement être utilisée directement sur les machines.</w:t>
      </w:r>
      <w:r>
        <w:rPr>
          <w:color w:val="000000"/>
        </w:rPr>
        <w:br/>
      </w:r>
      <w:r>
        <w:rPr>
          <w:color w:val="000000"/>
        </w:rPr>
        <w:t xml:space="preserve">Sur machines neuves ou existantes, la XES 200 simplifie la manipulation PUR.</w:t>
      </w:r>
      <w:r>
        <w:rPr>
          <w:color w:val="000000"/>
        </w:rPr>
        <w:t xml:space="preserve"> </w:t>
      </w:r>
    </w:p>
    <w:p w14:paraId="5B3545DB" w14:textId="268B0D20" w:rsidR="0047204A" w:rsidRDefault="005F3DBD" w:rsidP="00472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color w:val="000000"/>
          <w:rFonts w:ascii="NimbusSanL" w:hAnsi="NimbusSanL" w:cs="NimbusSanL"/>
        </w:rPr>
        <w:drawing>
          <wp:inline distT="0" distB="0" distL="0" distR="0" wp14:anchorId="07F1368A" wp14:editId="4BC5FD10">
            <wp:extent cx="2943628" cy="2737262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station_P1050664_frei-weiss-RGB-72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92" cy="273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CB4F" w14:textId="77777777" w:rsidR="005F3DBD" w:rsidRPr="00753E13" w:rsidRDefault="005F3DBD" w:rsidP="0047204A">
      <w:pPr>
        <w:pStyle w:val="Titel"/>
      </w:pPr>
      <w:r>
        <w:t xml:space="preserve">Image : </w:t>
      </w:r>
      <w:r>
        <w:rPr>
          <w:b w:val="0"/>
        </w:rPr>
        <w:t xml:space="preserve">Station de service XES 200</w:t>
      </w:r>
    </w:p>
    <w:p w14:paraId="30156CFE" w14:textId="0C5D3A37" w:rsidR="0047204A" w:rsidRDefault="0047204A">
      <w:pPr>
        <w:widowControl/>
        <w:spacing w:after="0" w:line="240" w:lineRule="auto"/>
        <w:rPr>
          <w:rFonts w:ascii="NimbusSanL" w:hAnsi="NimbusSanL" w:cs="NimbusSanL"/>
          <w:color w:val="000000"/>
        </w:rPr>
      </w:pPr>
    </w:p>
    <w:p w14:paraId="2A5C347A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0DCC49D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Images</w:t>
      </w:r>
    </w:p>
    <w:p w14:paraId="7138A6B9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Source des images : HOMAG Kantentechnik GmbH</w:t>
      </w:r>
      <w:r>
        <w:rPr>
          <w:color w:val="000000"/>
          <w:rFonts w:ascii="NimbusSanL" w:hAnsi="NimbusSanL" w:cs="NimbusSanL"/>
        </w:rPr>
        <w:t xml:space="preserve"> </w:t>
      </w:r>
    </w:p>
    <w:p w14:paraId="2560F23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13389D6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BD441" w14:textId="77777777" w:rsidR="005F3DBD" w:rsidRDefault="005F3DBD" w:rsidP="005F3DB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</w:rPr>
      </w:pPr>
    </w:p>
    <w:p w14:paraId="410ABF4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rFonts w:ascii="NimbusSanL" w:hAnsi="NimbusSanL" w:cs="NimbusSanL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5458851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5D68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0C350FA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Pour toute question, veuillez contacter :</w:t>
      </w:r>
    </w:p>
    <w:p w14:paraId="6AA756F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30C0D40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7093834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rFonts w:ascii="NimbusSanL" w:hAnsi="NimbusSanL" w:cs="NimbusSanL"/>
        </w:rPr>
        <w:t xml:space="preserve">HOMAG Kantentechnik GmbH</w:t>
      </w:r>
      <w:r>
        <w:rPr>
          <w:b/>
          <w:bCs/>
          <w:color w:val="000000"/>
          <w:rFonts w:ascii="NimbusSanL" w:hAnsi="NimbusSanL" w:cs="NimbusSanL"/>
        </w:rPr>
        <w:t xml:space="preserve"> </w:t>
      </w:r>
    </w:p>
    <w:p w14:paraId="66215B51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Weststraße 2</w:t>
      </w:r>
    </w:p>
    <w:p w14:paraId="28B928BD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32657 Lemgo</w:t>
      </w:r>
    </w:p>
    <w:p w14:paraId="625CAD3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Allemagne</w:t>
      </w:r>
    </w:p>
    <w:p w14:paraId="186E90B8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www.homag.com</w:t>
      </w:r>
    </w:p>
    <w:p w14:paraId="64B2A5FA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34965E6F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07B19069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Ulf Horstmann</w:t>
      </w:r>
    </w:p>
    <w:p w14:paraId="41FDB595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1"/>
        </w:rPr>
        <w:t xml:space="preserve">Product Marketing</w:t>
      </w:r>
    </w:p>
    <w:p w14:paraId="3D2BD9C4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Tél. :</w:t>
        <w:tab/>
        <w:t xml:space="preserve">+49 5261 974 57208</w:t>
      </w:r>
    </w:p>
    <w:p w14:paraId="564DF65D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ulf.horstmann@homag.com</w:t>
      </w:r>
    </w:p>
    <w:sectPr w:rsidR="005F3DBD" w:rsidRPr="008670A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71EF" w14:textId="77777777" w:rsidR="00BD3D69" w:rsidRDefault="00BD3D69">
      <w:r>
        <w:separator/>
      </w:r>
    </w:p>
  </w:endnote>
  <w:endnote w:type="continuationSeparator" w:id="0">
    <w:p w14:paraId="04FA0176" w14:textId="77777777" w:rsidR="00BD3D69" w:rsidRDefault="00B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14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92AE" w14:textId="77777777" w:rsidR="00BD3D69" w:rsidRDefault="00BD3D69">
      <w:r>
        <w:separator/>
      </w:r>
    </w:p>
  </w:footnote>
  <w:footnote w:type="continuationSeparator" w:id="0">
    <w:p w14:paraId="515C4126" w14:textId="77777777" w:rsidR="00BD3D69" w:rsidRDefault="00BD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0D" w14:textId="5384E74F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Revue de presse Journées Techniques HOMAG 2018</w:t>
    </w:r>
    <w:r>
      <w:rPr>
        <w:b/>
        <w:sz w:val="28"/>
      </w:rPr>
      <w:tab/>
    </w:r>
    <w:r>
      <w:drawing>
        <wp:inline distT="0" distB="0" distL="0" distR="0" wp14:anchorId="3E368415" wp14:editId="3E368416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3E368412" w14:textId="77777777" w:rsidTr="00C74CDC">
      <w:tc>
        <w:tcPr>
          <w:tcW w:w="3402" w:type="dxa"/>
        </w:tcPr>
        <w:p w14:paraId="497EC782" w14:textId="77777777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3E36840F" w14:textId="77777777" w:rsidR="00CA4276" w:rsidRDefault="00CA4276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3E368410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Page 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3E368411" w14:textId="4FDF6DA9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Août 2018</w:t>
          </w:r>
        </w:p>
      </w:tc>
    </w:tr>
  </w:tbl>
  <w:p w14:paraId="3E368413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8054F75"/>
    <w:multiLevelType w:val="hybridMultilevel"/>
    <w:tmpl w:val="A4D86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0D70FE"/>
    <w:multiLevelType w:val="hybridMultilevel"/>
    <w:tmpl w:val="FC88B2F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9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8"/>
  </w:num>
  <w:num w:numId="5">
    <w:abstractNumId w:val="26"/>
  </w:num>
  <w:num w:numId="6">
    <w:abstractNumId w:val="15"/>
  </w:num>
  <w:num w:numId="7">
    <w:abstractNumId w:val="16"/>
  </w:num>
  <w:num w:numId="8">
    <w:abstractNumId w:val="20"/>
  </w:num>
  <w:num w:numId="9">
    <w:abstractNumId w:val="22"/>
  </w:num>
  <w:num w:numId="10">
    <w:abstractNumId w:val="27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8"/>
  </w:num>
  <w:num w:numId="18">
    <w:abstractNumId w:val="14"/>
  </w:num>
  <w:num w:numId="19">
    <w:abstractNumId w:val="29"/>
  </w:num>
  <w:num w:numId="20">
    <w:abstractNumId w:val="24"/>
  </w:num>
  <w:num w:numId="21">
    <w:abstractNumId w:val="32"/>
  </w:num>
  <w:num w:numId="22">
    <w:abstractNumId w:val="3"/>
  </w:num>
  <w:num w:numId="23">
    <w:abstractNumId w:val="9"/>
  </w:num>
  <w:num w:numId="24">
    <w:abstractNumId w:val="11"/>
  </w:num>
  <w:num w:numId="25">
    <w:abstractNumId w:val="33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5"/>
  </w:num>
  <w:num w:numId="32">
    <w:abstractNumId w:val="30"/>
  </w:num>
  <w:num w:numId="33">
    <w:abstractNumId w:val="31"/>
  </w:num>
  <w:num w:numId="34">
    <w:abstractNumId w:val="10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77ED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691D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512"/>
    <w:rsid w:val="001F6AB9"/>
    <w:rsid w:val="00213A46"/>
    <w:rsid w:val="0022697A"/>
    <w:rsid w:val="002560A1"/>
    <w:rsid w:val="00257269"/>
    <w:rsid w:val="00262EF5"/>
    <w:rsid w:val="00271035"/>
    <w:rsid w:val="00272217"/>
    <w:rsid w:val="00274D1F"/>
    <w:rsid w:val="00276C42"/>
    <w:rsid w:val="002A19F6"/>
    <w:rsid w:val="002A557A"/>
    <w:rsid w:val="003014A3"/>
    <w:rsid w:val="00301904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7204A"/>
    <w:rsid w:val="00476502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3F52"/>
    <w:rsid w:val="005A5380"/>
    <w:rsid w:val="005B6CF2"/>
    <w:rsid w:val="005C623C"/>
    <w:rsid w:val="005D2F26"/>
    <w:rsid w:val="005D59E6"/>
    <w:rsid w:val="005F022F"/>
    <w:rsid w:val="005F3DBD"/>
    <w:rsid w:val="005F3F60"/>
    <w:rsid w:val="006143F9"/>
    <w:rsid w:val="00623204"/>
    <w:rsid w:val="0066716B"/>
    <w:rsid w:val="00680042"/>
    <w:rsid w:val="00697D14"/>
    <w:rsid w:val="006C15C6"/>
    <w:rsid w:val="006C2BA0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64F78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62FA4"/>
    <w:rsid w:val="00891766"/>
    <w:rsid w:val="008B07C0"/>
    <w:rsid w:val="008C0447"/>
    <w:rsid w:val="008E7DE4"/>
    <w:rsid w:val="009051A1"/>
    <w:rsid w:val="009178FE"/>
    <w:rsid w:val="00920D02"/>
    <w:rsid w:val="0093011B"/>
    <w:rsid w:val="009368F5"/>
    <w:rsid w:val="00944CAE"/>
    <w:rsid w:val="009479AC"/>
    <w:rsid w:val="00957FB2"/>
    <w:rsid w:val="0097733B"/>
    <w:rsid w:val="009A1B07"/>
    <w:rsid w:val="009A4FA6"/>
    <w:rsid w:val="009C58AA"/>
    <w:rsid w:val="009C73C6"/>
    <w:rsid w:val="009E15B5"/>
    <w:rsid w:val="009E1B64"/>
    <w:rsid w:val="009F1FE2"/>
    <w:rsid w:val="009F50FD"/>
    <w:rsid w:val="00A04D46"/>
    <w:rsid w:val="00A071AD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96801"/>
    <w:rsid w:val="00BA3C3F"/>
    <w:rsid w:val="00BC229D"/>
    <w:rsid w:val="00BD3D69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A4276"/>
    <w:rsid w:val="00CB1588"/>
    <w:rsid w:val="00CD1E96"/>
    <w:rsid w:val="00CF622D"/>
    <w:rsid w:val="00D0150A"/>
    <w:rsid w:val="00D043C0"/>
    <w:rsid w:val="00D05F12"/>
    <w:rsid w:val="00D071E6"/>
    <w:rsid w:val="00D113BA"/>
    <w:rsid w:val="00D25B51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6745"/>
    <w:rsid w:val="00DA7ADD"/>
    <w:rsid w:val="00DD063D"/>
    <w:rsid w:val="00DE114A"/>
    <w:rsid w:val="00DF2A9D"/>
    <w:rsid w:val="00E06B30"/>
    <w:rsid w:val="00E12832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10E6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368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Ulf Horstmann</cp:lastModifiedBy>
  <cp:revision>4</cp:revision>
  <cp:lastPrinted>2018-04-19T05:24:00Z</cp:lastPrinted>
  <dcterms:created xsi:type="dcterms:W3CDTF">2018-08-13T13:07:00Z</dcterms:created>
  <dcterms:modified xsi:type="dcterms:W3CDTF">2018-08-15T12:23:00Z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