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54AC3" w14:textId="4DA4AB33" w:rsidR="0027360F" w:rsidRPr="00452953" w:rsidRDefault="00B8073E" w:rsidP="0027360F">
      <w:pPr>
        <w:pStyle w:val="Ttulo1"/>
        <w:ind w:right="-1134"/>
        <w:rPr>
          <w:lang w:val="es-CL"/>
        </w:rPr>
      </w:pPr>
      <w:r>
        <w:rPr>
          <w:lang w:val="es-CL"/>
        </w:rPr>
        <w:t xml:space="preserve">Construcción </w:t>
      </w:r>
      <w:proofErr w:type="spellStart"/>
      <w:r>
        <w:rPr>
          <w:lang w:val="es-CL"/>
        </w:rPr>
        <w:t>pré</w:t>
      </w:r>
      <w:proofErr w:type="spellEnd"/>
      <w:r>
        <w:rPr>
          <w:lang w:val="es-CL"/>
        </w:rPr>
        <w:t xml:space="preserve"> </w:t>
      </w:r>
      <w:r w:rsidR="0027360F" w:rsidRPr="00452953">
        <w:rPr>
          <w:lang w:val="es-CL"/>
        </w:rPr>
        <w:t xml:space="preserve">fabricada en madera, da nuevo salto en Chile </w:t>
      </w:r>
    </w:p>
    <w:p w14:paraId="58FB71DC" w14:textId="1250B490" w:rsidR="0027360F" w:rsidRPr="00452953" w:rsidRDefault="0027360F" w:rsidP="0027360F">
      <w:pPr>
        <w:ind w:right="-1134"/>
        <w:rPr>
          <w:b/>
          <w:lang w:val="es-CL"/>
        </w:rPr>
      </w:pPr>
      <w:r w:rsidRPr="00452953">
        <w:rPr>
          <w:b/>
          <w:lang w:val="es-CL"/>
        </w:rPr>
        <w:t xml:space="preserve">Empresa chilena inaugura la primera fábrica de casas </w:t>
      </w:r>
      <w:proofErr w:type="spellStart"/>
      <w:r w:rsidRPr="00452953">
        <w:rPr>
          <w:b/>
          <w:lang w:val="es-CL"/>
        </w:rPr>
        <w:t>pré</w:t>
      </w:r>
      <w:proofErr w:type="spellEnd"/>
      <w:r w:rsidRPr="00452953">
        <w:rPr>
          <w:b/>
          <w:lang w:val="es-CL"/>
        </w:rPr>
        <w:t xml:space="preserve"> fabricadas e edificios en madeira y proyecta ventas en la orden de US$ 25 millones. </w:t>
      </w:r>
    </w:p>
    <w:p w14:paraId="3D2BBC93" w14:textId="77777777" w:rsidR="00E251B1" w:rsidRPr="00452953" w:rsidRDefault="00E251B1" w:rsidP="0027360F">
      <w:pPr>
        <w:ind w:right="-1134"/>
        <w:rPr>
          <w:b/>
          <w:lang w:val="es-CL"/>
        </w:rPr>
      </w:pPr>
    </w:p>
    <w:p w14:paraId="2DFF754C" w14:textId="3F536F9C" w:rsidR="0027360F" w:rsidRPr="00452953" w:rsidRDefault="0027360F" w:rsidP="0027360F">
      <w:pPr>
        <w:rPr>
          <w:lang w:val="es-CL"/>
        </w:rPr>
      </w:pPr>
      <w:r w:rsidRPr="00452953">
        <w:rPr>
          <w:lang w:val="es-CL"/>
        </w:rPr>
        <w:t xml:space="preserve">Con apenas un año de existencia, la empresa chilena E2E es una </w:t>
      </w:r>
      <w:proofErr w:type="spellStart"/>
      <w:r w:rsidRPr="00452953">
        <w:rPr>
          <w:lang w:val="es-CL"/>
        </w:rPr>
        <w:t>joint</w:t>
      </w:r>
      <w:proofErr w:type="spellEnd"/>
      <w:r w:rsidRPr="00452953">
        <w:rPr>
          <w:lang w:val="es-CL"/>
        </w:rPr>
        <w:t xml:space="preserve"> </w:t>
      </w:r>
      <w:proofErr w:type="spellStart"/>
      <w:r w:rsidRPr="00452953">
        <w:rPr>
          <w:lang w:val="es-CL"/>
        </w:rPr>
        <w:t>venture</w:t>
      </w:r>
      <w:proofErr w:type="spellEnd"/>
      <w:r w:rsidRPr="00452953">
        <w:rPr>
          <w:lang w:val="es-CL"/>
        </w:rPr>
        <w:t xml:space="preserve"> entre Arauco y la empresa belga </w:t>
      </w:r>
      <w:proofErr w:type="spellStart"/>
      <w:r w:rsidRPr="00452953">
        <w:rPr>
          <w:lang w:val="es-CL"/>
        </w:rPr>
        <w:t>Etex</w:t>
      </w:r>
      <w:proofErr w:type="spellEnd"/>
      <w:r w:rsidRPr="00452953">
        <w:rPr>
          <w:lang w:val="es-CL"/>
        </w:rPr>
        <w:t>. Su fábrica, que opera desde febrero del 2019 en Santiago de Chile, tiene la capacidad de construir 1.000 viviendas por año entre casas pre fabrica</w:t>
      </w:r>
      <w:r w:rsidR="00452953" w:rsidRPr="00452953">
        <w:rPr>
          <w:lang w:val="es-CL"/>
        </w:rPr>
        <w:t>da</w:t>
      </w:r>
      <w:r w:rsidRPr="00452953">
        <w:rPr>
          <w:lang w:val="es-CL"/>
        </w:rPr>
        <w:t xml:space="preserve">s </w:t>
      </w:r>
      <w:r w:rsidR="00452953" w:rsidRPr="00452953">
        <w:rPr>
          <w:lang w:val="es-CL"/>
        </w:rPr>
        <w:t>y</w:t>
      </w:r>
      <w:r w:rsidRPr="00452953">
        <w:rPr>
          <w:lang w:val="es-CL"/>
        </w:rPr>
        <w:t xml:space="preserve"> edificios de madera. </w:t>
      </w:r>
    </w:p>
    <w:p w14:paraId="48969BCF" w14:textId="30D70B79" w:rsidR="0027360F" w:rsidRPr="00452953" w:rsidRDefault="0027360F" w:rsidP="0027360F">
      <w:pPr>
        <w:rPr>
          <w:lang w:val="es-CL"/>
        </w:rPr>
      </w:pPr>
      <w:r w:rsidRPr="00452953">
        <w:rPr>
          <w:lang w:val="es-CL"/>
        </w:rPr>
        <w:t>La proyección de US$ 25 millones en ventas en 3 años cuenta con un plan de inversiones de US$15 millones, de los cuales 6 millones se han investidos en la fábrica de producción con máquinas de WEINMANN, empresa del Grupo HOMAG, líder mundial en máquinas y soluciones completa</w:t>
      </w:r>
      <w:r w:rsidR="00452953" w:rsidRPr="00452953">
        <w:rPr>
          <w:lang w:val="es-CL"/>
        </w:rPr>
        <w:t>s para la construcción con made</w:t>
      </w:r>
      <w:r w:rsidRPr="00452953">
        <w:rPr>
          <w:lang w:val="es-CL"/>
        </w:rPr>
        <w:t xml:space="preserve">ra. </w:t>
      </w:r>
    </w:p>
    <w:p w14:paraId="52B29130" w14:textId="77777777" w:rsidR="0027360F" w:rsidRPr="00452953" w:rsidRDefault="0027360F" w:rsidP="0027360F">
      <w:pPr>
        <w:rPr>
          <w:lang w:val="es-CL"/>
        </w:rPr>
      </w:pPr>
      <w:r w:rsidRPr="00452953">
        <w:rPr>
          <w:lang w:val="es-CL"/>
        </w:rPr>
        <w:t xml:space="preserve">Mismo con la producción operando a poco más de 6 meses, la empresa celebra el hecho de ya estar construyendo 400 casas de dos pisos en Casablanca y desarrollando un conjunto de edificios de 4 pisos en Concepción en Chile. </w:t>
      </w:r>
    </w:p>
    <w:p w14:paraId="60D18478" w14:textId="66CB3A31" w:rsidR="0027360F" w:rsidRPr="00452953" w:rsidRDefault="00452953" w:rsidP="0027360F">
      <w:pPr>
        <w:rPr>
          <w:lang w:val="es-CL"/>
        </w:rPr>
      </w:pPr>
      <w:r w:rsidRPr="00452953">
        <w:rPr>
          <w:lang w:val="es-CL"/>
        </w:rPr>
        <w:t>Según</w:t>
      </w:r>
      <w:r w:rsidR="0027360F" w:rsidRPr="00452953">
        <w:rPr>
          <w:lang w:val="es-CL"/>
        </w:rPr>
        <w:t xml:space="preserve"> Felipe Montes, gerente general de E2E, por ahora la fábrica está con un ritmo de construcción de 16 casas por semana y dentro de los próximos días también iniciarán el montaje de edificios de 4 pisos, con un total de 16 apartamentos de 50m² cada.</w:t>
      </w:r>
    </w:p>
    <w:p w14:paraId="37849D44" w14:textId="6FA32BA7" w:rsidR="0027360F" w:rsidRPr="00452953" w:rsidRDefault="0027360F" w:rsidP="0027360F">
      <w:pPr>
        <w:rPr>
          <w:lang w:val="es-CL"/>
        </w:rPr>
      </w:pPr>
      <w:r w:rsidRPr="00452953">
        <w:rPr>
          <w:lang w:val="es-CL"/>
        </w:rPr>
        <w:t>El gerente general también destaca que con las tecnologías de producción ellos han podido disminuir el tiempo de entrega de 12 para 8 meses. Además de ahorrar tiempo y aumentar la productividad, ta</w:t>
      </w:r>
      <w:r w:rsidR="00452953">
        <w:rPr>
          <w:lang w:val="es-CL"/>
        </w:rPr>
        <w:t>mbién están generando menos resi</w:t>
      </w:r>
      <w:r w:rsidR="00452953" w:rsidRPr="00452953">
        <w:rPr>
          <w:lang w:val="es-CL"/>
        </w:rPr>
        <w:t>duos</w:t>
      </w:r>
      <w:r w:rsidRPr="00452953">
        <w:rPr>
          <w:lang w:val="es-CL"/>
        </w:rPr>
        <w:t>, una vez que casi toda la construcción se hace en fábrica, lo que disminuye el volumen de basura durante la edificación.</w:t>
      </w:r>
    </w:p>
    <w:p w14:paraId="7D558C13" w14:textId="77777777" w:rsidR="0027360F" w:rsidRPr="00452953" w:rsidRDefault="0027360F" w:rsidP="0027360F">
      <w:pPr>
        <w:rPr>
          <w:lang w:val="es-CL"/>
        </w:rPr>
      </w:pPr>
      <w:r w:rsidRPr="00452953">
        <w:rPr>
          <w:lang w:val="es-CL"/>
        </w:rPr>
        <w:t>Debido a la gran demanda por viviendas en Chile y a la necesidad de entregarlas a un corto plazo, Montes revela que ya estudian una ampliación de la fábrica, instalando una segunda línea, pero esto aún no se considera como proyecto de corto plazo.</w:t>
      </w:r>
    </w:p>
    <w:p w14:paraId="4CA134CD" w14:textId="77777777" w:rsidR="0027360F" w:rsidRPr="00452953" w:rsidRDefault="0027360F" w:rsidP="0027360F">
      <w:pPr>
        <w:rPr>
          <w:lang w:val="es-CL"/>
        </w:rPr>
      </w:pPr>
      <w:r w:rsidRPr="00452953">
        <w:rPr>
          <w:lang w:val="es-CL"/>
        </w:rPr>
        <w:t xml:space="preserve">El gerente también reveló que están interesados en participar de un proyecto del </w:t>
      </w:r>
      <w:proofErr w:type="spellStart"/>
      <w:r w:rsidRPr="00452953">
        <w:rPr>
          <w:lang w:val="es-CL"/>
        </w:rPr>
        <w:t>Serviu</w:t>
      </w:r>
      <w:proofErr w:type="spellEnd"/>
      <w:r w:rsidRPr="00452953">
        <w:rPr>
          <w:lang w:val="es-CL"/>
        </w:rPr>
        <w:t xml:space="preserve"> (Servicio de vivienda y urbanización) de la Región de O´Higgins”, para construir </w:t>
      </w:r>
      <w:r w:rsidRPr="00452953">
        <w:rPr>
          <w:lang w:val="es-CL"/>
        </w:rPr>
        <w:lastRenderedPageBreak/>
        <w:t>el primer edificio de madera de 6 pisos.</w:t>
      </w:r>
    </w:p>
    <w:p w14:paraId="69866424" w14:textId="77777777" w:rsidR="0027360F" w:rsidRPr="00452953" w:rsidRDefault="0027360F" w:rsidP="0027360F">
      <w:pPr>
        <w:rPr>
          <w:lang w:val="es-CL"/>
        </w:rPr>
      </w:pPr>
      <w:r w:rsidRPr="00452953">
        <w:rPr>
          <w:lang w:val="es-CL"/>
        </w:rPr>
        <w:t>“Sería el más alto edificio de viviendas en madera”, afirma.</w:t>
      </w:r>
    </w:p>
    <w:p w14:paraId="56D85676" w14:textId="385FD3BD" w:rsidR="0027360F" w:rsidRPr="00452953" w:rsidRDefault="00452953" w:rsidP="0027360F">
      <w:pPr>
        <w:rPr>
          <w:lang w:val="es-CL"/>
        </w:rPr>
      </w:pPr>
      <w:r>
        <w:rPr>
          <w:lang w:val="es-CL"/>
        </w:rPr>
        <w:t>Aunque el plan de expansión esté</w:t>
      </w:r>
      <w:r w:rsidR="0027360F" w:rsidRPr="00452953">
        <w:rPr>
          <w:lang w:val="es-CL"/>
        </w:rPr>
        <w:t xml:space="preserve"> concentrado en Chile, Montes revela que en el futuro pretenden dar un salto para otros mercados de la región. </w:t>
      </w:r>
    </w:p>
    <w:p w14:paraId="1035EF01" w14:textId="77777777" w:rsidR="0027360F" w:rsidRPr="00452953" w:rsidRDefault="0027360F" w:rsidP="0027360F">
      <w:pPr>
        <w:rPr>
          <w:lang w:val="es-CL"/>
        </w:rPr>
      </w:pPr>
      <w:r w:rsidRPr="00452953">
        <w:rPr>
          <w:lang w:val="es-CL"/>
        </w:rPr>
        <w:t>“Como partimos de dos empresas globales, tenemos una visión global y latino-americana. Todos los países tienen la necesidad de viviendas, y sobre todo de este tipo, amigas del medio ambiente e industrializadas. La madera, por ser renovable, se está mirando como el material del futuro en la construcción”, complementa.</w:t>
      </w:r>
    </w:p>
    <w:p w14:paraId="35D64EE3" w14:textId="77777777" w:rsidR="0027360F" w:rsidRPr="00452953" w:rsidRDefault="0027360F" w:rsidP="0027360F">
      <w:pPr>
        <w:rPr>
          <w:lang w:val="es-CL"/>
        </w:rPr>
      </w:pPr>
      <w:r w:rsidRPr="00452953">
        <w:rPr>
          <w:lang w:val="es-CL"/>
        </w:rPr>
        <w:t>El gerente apunta aún que en América Latina el mercado de construcción con madera todavía es pequeño. En el caso de Chile, abarca solamente un 15%, número que pretenden duplicar en 2020. Este porcentaje es aún más pequeño en otros países.</w:t>
      </w:r>
    </w:p>
    <w:p w14:paraId="1EC71614" w14:textId="77777777" w:rsidR="0027360F" w:rsidRPr="00452953" w:rsidRDefault="0027360F" w:rsidP="0027360F">
      <w:pPr>
        <w:rPr>
          <w:lang w:val="es-CL"/>
        </w:rPr>
      </w:pPr>
      <w:r w:rsidRPr="00452953">
        <w:rPr>
          <w:lang w:val="es-CL"/>
        </w:rPr>
        <w:t>“Todo esto es un mercado de futuro. En este momento es muy bajo, pero ya se nota que la madera será la solución para la construcción en el futuro”, indica.</w:t>
      </w:r>
    </w:p>
    <w:p w14:paraId="2D321B0A" w14:textId="12D61229" w:rsidR="00D0355F" w:rsidRPr="00452953" w:rsidRDefault="0027360F" w:rsidP="0027360F">
      <w:pPr>
        <w:rPr>
          <w:lang w:val="es-CL"/>
        </w:rPr>
      </w:pPr>
      <w:r w:rsidRPr="00452953">
        <w:rPr>
          <w:lang w:val="es-CL"/>
        </w:rPr>
        <w:t xml:space="preserve">Para realizar este proyecto ambicioso, E2E pudo confiar en las soluciones y la experiencia del Grupo HOMAG. Limaq, representante de HOMAG con fuerte actuación en el mercado argentino y chileno a casi 20 años, el Sr. Eduardo Bezares, gerente de ventas para América Latina de HOMAG y los especialistas de WEINMANN, los señores Tobias y </w:t>
      </w:r>
      <w:proofErr w:type="spellStart"/>
      <w:r w:rsidRPr="00452953">
        <w:rPr>
          <w:lang w:val="es-CL"/>
        </w:rPr>
        <w:t>Hansbert</w:t>
      </w:r>
      <w:proofErr w:type="spellEnd"/>
      <w:r w:rsidRPr="00452953">
        <w:rPr>
          <w:lang w:val="es-CL"/>
        </w:rPr>
        <w:t xml:space="preserve"> </w:t>
      </w:r>
      <w:proofErr w:type="spellStart"/>
      <w:r w:rsidRPr="00452953">
        <w:rPr>
          <w:lang w:val="es-CL"/>
        </w:rPr>
        <w:t>Ott</w:t>
      </w:r>
      <w:proofErr w:type="spellEnd"/>
      <w:r w:rsidRPr="00452953">
        <w:rPr>
          <w:lang w:val="es-CL"/>
        </w:rPr>
        <w:t xml:space="preserve"> formaron un equipo técnico que juntamente con los profesionales de E2E, desarrollaron una solución completa para satisfacer las necesidades y aspiraciones del negocio.</w:t>
      </w:r>
    </w:p>
    <w:p w14:paraId="3983764D" w14:textId="77777777" w:rsidR="00E251B1" w:rsidRPr="00452953" w:rsidRDefault="00E251B1" w:rsidP="0027360F">
      <w:pPr>
        <w:rPr>
          <w:lang w:val="es-CL"/>
        </w:rPr>
      </w:pPr>
    </w:p>
    <w:p w14:paraId="5A041EF3" w14:textId="2A357F4D" w:rsidR="00D0355F" w:rsidRPr="00452953" w:rsidRDefault="0027360F" w:rsidP="003841FD">
      <w:pPr>
        <w:pStyle w:val="Kasten-trkis"/>
        <w:rPr>
          <w:lang w:val="es-CL"/>
        </w:rPr>
      </w:pPr>
      <w:r w:rsidRPr="00072925">
        <w:rPr>
          <w:i/>
          <w:lang w:val="es-CL"/>
        </w:rPr>
        <w:t xml:space="preserve">“Nuestros clientes cuentan </w:t>
      </w:r>
      <w:r w:rsidR="00452953" w:rsidRPr="00072925">
        <w:rPr>
          <w:i/>
          <w:lang w:val="es-CL"/>
        </w:rPr>
        <w:t>con</w:t>
      </w:r>
      <w:r w:rsidRPr="00072925">
        <w:rPr>
          <w:i/>
          <w:lang w:val="es-CL"/>
        </w:rPr>
        <w:t xml:space="preserve"> el respaldo de años de </w:t>
      </w:r>
      <w:r w:rsidR="00452953" w:rsidRPr="00072925">
        <w:rPr>
          <w:i/>
          <w:lang w:val="es-CL"/>
        </w:rPr>
        <w:t>experiencia</w:t>
      </w:r>
      <w:r w:rsidRPr="00072925">
        <w:rPr>
          <w:i/>
          <w:lang w:val="es-CL"/>
        </w:rPr>
        <w:t xml:space="preserve"> y </w:t>
      </w:r>
      <w:r w:rsidR="00452953" w:rsidRPr="00072925">
        <w:rPr>
          <w:i/>
          <w:lang w:val="es-CL"/>
        </w:rPr>
        <w:t>con</w:t>
      </w:r>
      <w:r w:rsidRPr="00072925">
        <w:rPr>
          <w:i/>
          <w:lang w:val="es-CL"/>
        </w:rPr>
        <w:t xml:space="preserve"> el trato personalizado que nos caracteriza. La preocupación por entregarles la mejor atención a sus clientes </w:t>
      </w:r>
      <w:r w:rsidR="00452953" w:rsidRPr="00072925">
        <w:rPr>
          <w:i/>
          <w:lang w:val="es-CL"/>
        </w:rPr>
        <w:t>ha</w:t>
      </w:r>
      <w:r w:rsidRPr="00072925">
        <w:rPr>
          <w:i/>
          <w:lang w:val="es-CL"/>
        </w:rPr>
        <w:t xml:space="preserve"> hecho de Limaq </w:t>
      </w:r>
      <w:r w:rsidR="00452953" w:rsidRPr="00072925">
        <w:rPr>
          <w:i/>
          <w:lang w:val="es-CL"/>
        </w:rPr>
        <w:t>una</w:t>
      </w:r>
      <w:r w:rsidRPr="00072925">
        <w:rPr>
          <w:i/>
          <w:lang w:val="es-CL"/>
        </w:rPr>
        <w:t xml:space="preserve"> empresa clave para los </w:t>
      </w:r>
      <w:r w:rsidR="00452953" w:rsidRPr="00072925">
        <w:rPr>
          <w:i/>
          <w:lang w:val="es-CL"/>
        </w:rPr>
        <w:t>interesados</w:t>
      </w:r>
      <w:r w:rsidRPr="00072925">
        <w:rPr>
          <w:i/>
          <w:lang w:val="es-CL"/>
        </w:rPr>
        <w:t xml:space="preserve"> </w:t>
      </w:r>
      <w:r w:rsidR="00452953" w:rsidRPr="00072925">
        <w:rPr>
          <w:i/>
          <w:lang w:val="es-CL"/>
        </w:rPr>
        <w:t>en</w:t>
      </w:r>
      <w:r w:rsidRPr="00072925">
        <w:rPr>
          <w:i/>
          <w:lang w:val="es-CL"/>
        </w:rPr>
        <w:t xml:space="preserve"> el mecanizado de la madera”</w:t>
      </w:r>
      <w:r w:rsidR="003841FD" w:rsidRPr="00452953">
        <w:rPr>
          <w:lang w:val="es-CL"/>
        </w:rPr>
        <w:br/>
        <w:t>Jorge Panjkovich, (</w:t>
      </w:r>
      <w:r w:rsidRPr="00452953">
        <w:rPr>
          <w:lang w:val="es-CL"/>
        </w:rPr>
        <w:t xml:space="preserve">Gerente </w:t>
      </w:r>
      <w:r w:rsidR="00E4620E" w:rsidRPr="00452953">
        <w:rPr>
          <w:lang w:val="es-CL"/>
        </w:rPr>
        <w:t>socio</w:t>
      </w:r>
      <w:r w:rsidRPr="00452953">
        <w:rPr>
          <w:lang w:val="es-CL"/>
        </w:rPr>
        <w:t xml:space="preserve"> fundador d</w:t>
      </w:r>
      <w:bookmarkStart w:id="0" w:name="_GoBack"/>
      <w:bookmarkEnd w:id="0"/>
      <w:r w:rsidRPr="00452953">
        <w:rPr>
          <w:lang w:val="es-CL"/>
        </w:rPr>
        <w:t>e Limaq</w:t>
      </w:r>
      <w:r w:rsidR="003841FD" w:rsidRPr="00452953">
        <w:rPr>
          <w:lang w:val="es-CL"/>
        </w:rPr>
        <w:t>)</w:t>
      </w:r>
    </w:p>
    <w:p w14:paraId="3411194F" w14:textId="77777777" w:rsidR="00E251B1" w:rsidRPr="00452953" w:rsidRDefault="00E251B1" w:rsidP="00E251B1">
      <w:pPr>
        <w:pStyle w:val="Legenda"/>
        <w:rPr>
          <w:lang w:val="es-CL"/>
        </w:rPr>
      </w:pPr>
    </w:p>
    <w:p w14:paraId="6CD0F1F8" w14:textId="77777777" w:rsidR="00E251B1" w:rsidRPr="00452953" w:rsidRDefault="00E251B1" w:rsidP="00E251B1">
      <w:pPr>
        <w:pStyle w:val="Legenda"/>
        <w:rPr>
          <w:lang w:val="es-CL"/>
        </w:rPr>
      </w:pPr>
    </w:p>
    <w:p w14:paraId="7FAD6E3D" w14:textId="35C81189" w:rsidR="003841FD" w:rsidRPr="00072925" w:rsidRDefault="00D0355F" w:rsidP="00E251B1">
      <w:pPr>
        <w:pStyle w:val="Kasten-trkis"/>
        <w:rPr>
          <w:i/>
          <w:lang w:val="es-CL"/>
        </w:rPr>
      </w:pPr>
      <w:r w:rsidRPr="00452953">
        <w:rPr>
          <w:lang w:val="es-CL"/>
        </w:rPr>
        <w:lastRenderedPageBreak/>
        <w:t xml:space="preserve"> </w:t>
      </w:r>
      <w:r w:rsidR="003841FD" w:rsidRPr="00072925">
        <w:rPr>
          <w:i/>
          <w:lang w:val="es-CL"/>
        </w:rPr>
        <w:t>“</w:t>
      </w:r>
      <w:r w:rsidR="0027360F" w:rsidRPr="00072925">
        <w:rPr>
          <w:i/>
          <w:lang w:val="es-CL"/>
        </w:rPr>
        <w:t xml:space="preserve">Creemos </w:t>
      </w:r>
      <w:r w:rsidR="00452953" w:rsidRPr="00072925">
        <w:rPr>
          <w:i/>
          <w:lang w:val="es-CL"/>
        </w:rPr>
        <w:t>en</w:t>
      </w:r>
      <w:r w:rsidR="0027360F" w:rsidRPr="00072925">
        <w:rPr>
          <w:i/>
          <w:lang w:val="es-CL"/>
        </w:rPr>
        <w:t xml:space="preserve"> la construcción </w:t>
      </w:r>
      <w:r w:rsidR="00452953" w:rsidRPr="00072925">
        <w:rPr>
          <w:i/>
          <w:lang w:val="es-CL"/>
        </w:rPr>
        <w:t>en</w:t>
      </w:r>
      <w:r w:rsidR="0027360F" w:rsidRPr="00072925">
        <w:rPr>
          <w:i/>
          <w:lang w:val="es-CL"/>
        </w:rPr>
        <w:t xml:space="preserve"> madera, creemos </w:t>
      </w:r>
      <w:r w:rsidR="00452953" w:rsidRPr="00072925">
        <w:rPr>
          <w:i/>
          <w:lang w:val="es-CL"/>
        </w:rPr>
        <w:t>en</w:t>
      </w:r>
      <w:r w:rsidR="0027360F" w:rsidRPr="00072925">
        <w:rPr>
          <w:i/>
          <w:lang w:val="es-CL"/>
        </w:rPr>
        <w:t xml:space="preserve"> el material y </w:t>
      </w:r>
      <w:r w:rsidR="00452953" w:rsidRPr="00072925">
        <w:rPr>
          <w:i/>
          <w:lang w:val="es-CL"/>
        </w:rPr>
        <w:t>en</w:t>
      </w:r>
      <w:r w:rsidR="0027360F" w:rsidRPr="00072925">
        <w:rPr>
          <w:i/>
          <w:lang w:val="es-CL"/>
        </w:rPr>
        <w:t xml:space="preserve"> la industrializaci</w:t>
      </w:r>
      <w:r w:rsidR="00452953" w:rsidRPr="00072925">
        <w:rPr>
          <w:i/>
          <w:lang w:val="es-CL"/>
        </w:rPr>
        <w:t>ón de la man</w:t>
      </w:r>
      <w:r w:rsidR="0027360F" w:rsidRPr="00072925">
        <w:rPr>
          <w:i/>
          <w:lang w:val="es-CL"/>
        </w:rPr>
        <w:t xml:space="preserve">era de construir, </w:t>
      </w:r>
      <w:r w:rsidR="00452953" w:rsidRPr="00072925">
        <w:rPr>
          <w:i/>
          <w:lang w:val="es-CL"/>
        </w:rPr>
        <w:t>este</w:t>
      </w:r>
      <w:r w:rsidR="0027360F" w:rsidRPr="00072925">
        <w:rPr>
          <w:i/>
          <w:lang w:val="es-CL"/>
        </w:rPr>
        <w:t xml:space="preserve"> </w:t>
      </w:r>
      <w:r w:rsidR="00452953" w:rsidRPr="00072925">
        <w:rPr>
          <w:i/>
          <w:lang w:val="es-CL"/>
        </w:rPr>
        <w:t>proyecto</w:t>
      </w:r>
      <w:r w:rsidR="0027360F" w:rsidRPr="00072925">
        <w:rPr>
          <w:i/>
          <w:lang w:val="es-CL"/>
        </w:rPr>
        <w:t xml:space="preserve"> junto a E2E muestra </w:t>
      </w:r>
      <w:proofErr w:type="spellStart"/>
      <w:r w:rsidR="0027360F" w:rsidRPr="00072925">
        <w:rPr>
          <w:i/>
          <w:lang w:val="es-CL"/>
        </w:rPr>
        <w:t>como</w:t>
      </w:r>
      <w:proofErr w:type="spellEnd"/>
      <w:r w:rsidR="0027360F" w:rsidRPr="00072925">
        <w:rPr>
          <w:i/>
          <w:lang w:val="es-CL"/>
        </w:rPr>
        <w:t xml:space="preserve"> es posible alcanzar la </w:t>
      </w:r>
      <w:r w:rsidR="00452953" w:rsidRPr="00072925">
        <w:rPr>
          <w:i/>
          <w:lang w:val="es-CL"/>
        </w:rPr>
        <w:t>excelencia</w:t>
      </w:r>
      <w:r w:rsidR="0027360F" w:rsidRPr="00072925">
        <w:rPr>
          <w:i/>
          <w:lang w:val="es-CL"/>
        </w:rPr>
        <w:t xml:space="preserve"> y la </w:t>
      </w:r>
      <w:r w:rsidR="00452953" w:rsidRPr="00072925">
        <w:rPr>
          <w:i/>
          <w:lang w:val="es-CL"/>
        </w:rPr>
        <w:t>sustentabilidad</w:t>
      </w:r>
      <w:r w:rsidR="0027360F" w:rsidRPr="00072925">
        <w:rPr>
          <w:i/>
          <w:lang w:val="es-CL"/>
        </w:rPr>
        <w:t xml:space="preserve"> juntas.</w:t>
      </w:r>
      <w:r w:rsidR="00D6302F" w:rsidRPr="00072925">
        <w:rPr>
          <w:i/>
          <w:lang w:val="es-CL"/>
        </w:rPr>
        <w:t xml:space="preserve">” </w:t>
      </w:r>
    </w:p>
    <w:p w14:paraId="0E2F30FB" w14:textId="2FE05062" w:rsidR="003841FD" w:rsidRPr="00452953" w:rsidRDefault="003841FD" w:rsidP="00E251B1">
      <w:pPr>
        <w:pStyle w:val="Kasten-trkis"/>
        <w:rPr>
          <w:lang w:val="es-CL"/>
        </w:rPr>
      </w:pPr>
      <w:r w:rsidRPr="00452953">
        <w:rPr>
          <w:lang w:val="es-CL"/>
        </w:rPr>
        <w:t>Eduardo Bezares (</w:t>
      </w:r>
      <w:r w:rsidR="00E4620E">
        <w:rPr>
          <w:lang w:val="es-CL"/>
        </w:rPr>
        <w:t>Gerente de Vent</w:t>
      </w:r>
      <w:r w:rsidR="00D6302F" w:rsidRPr="00452953">
        <w:rPr>
          <w:lang w:val="es-CL"/>
        </w:rPr>
        <w:t xml:space="preserve">as para </w:t>
      </w:r>
      <w:r w:rsidR="009C50A5">
        <w:rPr>
          <w:lang w:val="es-CL"/>
        </w:rPr>
        <w:t>Latino América</w:t>
      </w:r>
      <w:r w:rsidRPr="00452953">
        <w:rPr>
          <w:lang w:val="es-CL"/>
        </w:rPr>
        <w:t>, Homag São Paulo)</w:t>
      </w:r>
    </w:p>
    <w:p w14:paraId="21F39089" w14:textId="77777777" w:rsidR="00D0355F" w:rsidRPr="00452953" w:rsidRDefault="00D0355F" w:rsidP="00E251B1">
      <w:pPr>
        <w:pStyle w:val="Legenda"/>
        <w:rPr>
          <w:lang w:val="es-CL"/>
        </w:rPr>
      </w:pPr>
    </w:p>
    <w:p w14:paraId="65C4E865" w14:textId="59684A62" w:rsidR="003841FD" w:rsidRPr="00452953" w:rsidRDefault="001E501D" w:rsidP="003841FD">
      <w:pPr>
        <w:pStyle w:val="Kasten-trkis"/>
        <w:rPr>
          <w:i/>
          <w:lang w:val="es-CL"/>
        </w:rPr>
      </w:pPr>
      <w:r w:rsidRPr="00452953">
        <w:rPr>
          <w:i/>
          <w:lang w:val="es-CL"/>
        </w:rPr>
        <w:t xml:space="preserve"> “</w:t>
      </w:r>
      <w:r w:rsidR="00D0355F" w:rsidRPr="00452953">
        <w:rPr>
          <w:i/>
          <w:lang w:val="es-CL"/>
        </w:rPr>
        <w:t xml:space="preserve">La tecnología de prefabricación para casas individuales y edificios de varios pisos será una revolución en el sector de la construcción en Chile. Ella ofrece alta flexibilidad y calidad, así como una producción continua. Con procesos industriales, las construcciones </w:t>
      </w:r>
      <w:r w:rsidR="00452953">
        <w:rPr>
          <w:i/>
          <w:lang w:val="es-CL"/>
        </w:rPr>
        <w:t>en</w:t>
      </w:r>
      <w:r w:rsidR="00D0355F" w:rsidRPr="00452953">
        <w:rPr>
          <w:i/>
          <w:lang w:val="es-CL"/>
        </w:rPr>
        <w:t xml:space="preserve"> madera pueden fabricarse con alta eficiencia. Esta será la respuesta a la gran demanda de viviendas asequibles en todo el mundo.</w:t>
      </w:r>
      <w:r w:rsidR="003841FD" w:rsidRPr="00452953">
        <w:rPr>
          <w:i/>
          <w:lang w:val="es-CL"/>
        </w:rPr>
        <w:t>”</w:t>
      </w:r>
    </w:p>
    <w:p w14:paraId="0D9CEC04" w14:textId="31FAF68B" w:rsidR="00D0355F" w:rsidRPr="00452953" w:rsidRDefault="003841FD" w:rsidP="003841FD">
      <w:pPr>
        <w:pStyle w:val="Kasten-trkis"/>
        <w:rPr>
          <w:lang w:val="es-CL"/>
        </w:rPr>
      </w:pPr>
      <w:proofErr w:type="spellStart"/>
      <w:r w:rsidRPr="00452953">
        <w:rPr>
          <w:lang w:val="es-CL"/>
        </w:rPr>
        <w:t>Hansbert</w:t>
      </w:r>
      <w:proofErr w:type="spellEnd"/>
      <w:r w:rsidRPr="00452953">
        <w:rPr>
          <w:lang w:val="es-CL"/>
        </w:rPr>
        <w:t xml:space="preserve"> </w:t>
      </w:r>
      <w:proofErr w:type="spellStart"/>
      <w:r w:rsidRPr="00452953">
        <w:rPr>
          <w:lang w:val="es-CL"/>
        </w:rPr>
        <w:t>Ott</w:t>
      </w:r>
      <w:proofErr w:type="spellEnd"/>
      <w:r w:rsidRPr="00452953">
        <w:rPr>
          <w:lang w:val="es-CL"/>
        </w:rPr>
        <w:t xml:space="preserve"> (Director </w:t>
      </w:r>
      <w:r w:rsidR="00E4620E">
        <w:rPr>
          <w:lang w:val="es-CL"/>
        </w:rPr>
        <w:t>de</w:t>
      </w:r>
      <w:r w:rsidRPr="00452953">
        <w:rPr>
          <w:lang w:val="es-CL"/>
        </w:rPr>
        <w:t xml:space="preserve"> WEINMANN)</w:t>
      </w:r>
    </w:p>
    <w:p w14:paraId="43F430B3" w14:textId="77777777" w:rsidR="00E251B1" w:rsidRPr="00452953" w:rsidRDefault="00E251B1" w:rsidP="003841FD">
      <w:pPr>
        <w:pStyle w:val="SemEspaamento"/>
        <w:ind w:right="-1134"/>
        <w:rPr>
          <w:lang w:val="es-CL"/>
        </w:rPr>
      </w:pPr>
    </w:p>
    <w:p w14:paraId="61623353" w14:textId="77777777" w:rsidR="00E251B1" w:rsidRPr="00452953" w:rsidRDefault="00E251B1" w:rsidP="003841FD">
      <w:pPr>
        <w:pStyle w:val="SemEspaamento"/>
        <w:ind w:right="-1134"/>
        <w:rPr>
          <w:lang w:val="es-CL"/>
        </w:rPr>
      </w:pPr>
    </w:p>
    <w:p w14:paraId="7E4FC12E" w14:textId="08142580" w:rsidR="00F2656D" w:rsidRPr="00452953" w:rsidRDefault="00B8073E" w:rsidP="003841FD">
      <w:pPr>
        <w:pStyle w:val="SemEspaamento"/>
        <w:ind w:right="-1134"/>
        <w:rPr>
          <w:lang w:val="es-CL"/>
        </w:rPr>
      </w:pPr>
      <w:r w:rsidRPr="00452953">
        <w:rPr>
          <w:lang w:val="es-CL"/>
        </w:rPr>
        <w:t>Imáge</w:t>
      </w:r>
      <w:r>
        <w:rPr>
          <w:lang w:val="es-CL"/>
        </w:rPr>
        <w:t>ne</w:t>
      </w:r>
      <w:r w:rsidRPr="00452953">
        <w:rPr>
          <w:lang w:val="es-CL"/>
        </w:rPr>
        <w:t>s</w:t>
      </w:r>
    </w:p>
    <w:p w14:paraId="7E4FC12F" w14:textId="33947880" w:rsidR="00F2656D" w:rsidRPr="00452953" w:rsidRDefault="00B8073E" w:rsidP="003841FD">
      <w:pPr>
        <w:pStyle w:val="SemEspaamento"/>
        <w:ind w:right="-1134"/>
        <w:rPr>
          <w:b w:val="0"/>
          <w:lang w:val="es-CL"/>
        </w:rPr>
      </w:pPr>
      <w:r w:rsidRPr="00B8073E">
        <w:rPr>
          <w:b w:val="0"/>
          <w:lang w:val="es-CL"/>
        </w:rPr>
        <w:t>Fuente de imagen</w:t>
      </w:r>
      <w:r w:rsidR="00F2656D" w:rsidRPr="00452953">
        <w:rPr>
          <w:b w:val="0"/>
          <w:lang w:val="es-CL"/>
        </w:rPr>
        <w:t xml:space="preserve">: </w:t>
      </w:r>
      <w:r w:rsidR="003841FD" w:rsidRPr="00452953">
        <w:rPr>
          <w:b w:val="0"/>
          <w:lang w:val="es-CL"/>
        </w:rPr>
        <w:t>E2E</w:t>
      </w:r>
    </w:p>
    <w:p w14:paraId="7E4FC130" w14:textId="77777777" w:rsidR="00F2656D" w:rsidRPr="00452953" w:rsidRDefault="00F2656D" w:rsidP="003841FD">
      <w:pPr>
        <w:pStyle w:val="SemEspaamento"/>
        <w:ind w:right="-1134"/>
        <w:rPr>
          <w:b w:val="0"/>
          <w:lang w:val="es-CL"/>
        </w:rPr>
      </w:pPr>
    </w:p>
    <w:p w14:paraId="7E4FC135" w14:textId="14BE9D12" w:rsidR="00F2656D" w:rsidRPr="00452953" w:rsidRDefault="003841FD" w:rsidP="003841FD">
      <w:pPr>
        <w:pStyle w:val="SemEspaamento"/>
        <w:ind w:right="-1134"/>
        <w:rPr>
          <w:b w:val="0"/>
          <w:lang w:val="es-CL"/>
        </w:rPr>
      </w:pPr>
      <w:r w:rsidRPr="00452953">
        <w:rPr>
          <w:noProof/>
          <w:lang w:val="es-CL" w:eastAsia="pt-BR"/>
        </w:rPr>
        <w:drawing>
          <wp:inline distT="0" distB="0" distL="0" distR="0" wp14:anchorId="6F9C7F92" wp14:editId="393814B5">
            <wp:extent cx="2520000" cy="1492222"/>
            <wp:effectExtent l="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 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492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FC136" w14:textId="561F46F6" w:rsidR="00B57FAC" w:rsidRPr="00452953" w:rsidRDefault="005E0924" w:rsidP="003841FD">
      <w:pPr>
        <w:pStyle w:val="Ttulo"/>
        <w:ind w:right="-1134"/>
        <w:rPr>
          <w:lang w:val="es-CL"/>
        </w:rPr>
      </w:pPr>
      <w:r w:rsidRPr="00452953">
        <w:rPr>
          <w:lang w:val="es-CL"/>
        </w:rPr>
        <w:t>Image</w:t>
      </w:r>
      <w:r w:rsidR="00B8073E">
        <w:rPr>
          <w:lang w:val="es-CL"/>
        </w:rPr>
        <w:t>n</w:t>
      </w:r>
      <w:r w:rsidR="00B57FAC" w:rsidRPr="00452953">
        <w:rPr>
          <w:lang w:val="es-CL"/>
        </w:rPr>
        <w:t xml:space="preserve"> 1:</w:t>
      </w:r>
    </w:p>
    <w:p w14:paraId="7E4FC137" w14:textId="7CD4D67A" w:rsidR="00B57FAC" w:rsidRPr="00452953" w:rsidRDefault="00B8073E" w:rsidP="003841FD">
      <w:pPr>
        <w:pStyle w:val="Ttulo"/>
        <w:ind w:right="-1134"/>
        <w:rPr>
          <w:b w:val="0"/>
          <w:szCs w:val="22"/>
          <w:lang w:val="es-CL"/>
        </w:rPr>
      </w:pPr>
      <w:r>
        <w:rPr>
          <w:b w:val="0"/>
          <w:szCs w:val="22"/>
          <w:lang w:val="es-CL"/>
        </w:rPr>
        <w:t>De derecha a izquierda</w:t>
      </w:r>
      <w:r w:rsidR="003841FD" w:rsidRPr="00452953">
        <w:rPr>
          <w:b w:val="0"/>
          <w:szCs w:val="22"/>
          <w:lang w:val="es-CL"/>
        </w:rPr>
        <w:t>: Per-</w:t>
      </w:r>
      <w:proofErr w:type="spellStart"/>
      <w:r w:rsidR="003841FD" w:rsidRPr="00452953">
        <w:rPr>
          <w:b w:val="0"/>
          <w:szCs w:val="22"/>
          <w:lang w:val="es-CL"/>
        </w:rPr>
        <w:t>Olof</w:t>
      </w:r>
      <w:proofErr w:type="spellEnd"/>
      <w:r w:rsidR="003841FD" w:rsidRPr="00452953">
        <w:rPr>
          <w:b w:val="0"/>
          <w:szCs w:val="22"/>
          <w:lang w:val="es-CL"/>
        </w:rPr>
        <w:t xml:space="preserve"> </w:t>
      </w:r>
      <w:proofErr w:type="spellStart"/>
      <w:r w:rsidR="003841FD" w:rsidRPr="00452953">
        <w:rPr>
          <w:b w:val="0"/>
          <w:szCs w:val="22"/>
          <w:lang w:val="es-CL"/>
        </w:rPr>
        <w:t>Algotsson</w:t>
      </w:r>
      <w:proofErr w:type="spellEnd"/>
      <w:r w:rsidR="003841FD" w:rsidRPr="00452953">
        <w:rPr>
          <w:b w:val="0"/>
          <w:szCs w:val="22"/>
          <w:lang w:val="es-CL"/>
        </w:rPr>
        <w:t xml:space="preserve"> (</w:t>
      </w:r>
      <w:proofErr w:type="spellStart"/>
      <w:r w:rsidR="003841FD" w:rsidRPr="00452953">
        <w:rPr>
          <w:b w:val="0"/>
          <w:szCs w:val="22"/>
          <w:lang w:val="es-CL"/>
        </w:rPr>
        <w:t>Etex</w:t>
      </w:r>
      <w:proofErr w:type="spellEnd"/>
      <w:r w:rsidR="003841FD" w:rsidRPr="00452953">
        <w:rPr>
          <w:b w:val="0"/>
          <w:szCs w:val="22"/>
          <w:lang w:val="es-CL"/>
        </w:rPr>
        <w:t xml:space="preserve">), Matías </w:t>
      </w:r>
      <w:proofErr w:type="spellStart"/>
      <w:r w:rsidR="003841FD" w:rsidRPr="00452953">
        <w:rPr>
          <w:b w:val="0"/>
          <w:szCs w:val="22"/>
          <w:lang w:val="es-CL"/>
        </w:rPr>
        <w:t>Domeyco</w:t>
      </w:r>
      <w:proofErr w:type="spellEnd"/>
      <w:r w:rsidR="003841FD" w:rsidRPr="00452953">
        <w:rPr>
          <w:b w:val="0"/>
          <w:szCs w:val="22"/>
          <w:lang w:val="es-CL"/>
        </w:rPr>
        <w:t xml:space="preserve"> (Arauco), </w:t>
      </w:r>
      <w:proofErr w:type="spellStart"/>
      <w:r w:rsidR="003841FD" w:rsidRPr="00452953">
        <w:rPr>
          <w:b w:val="0"/>
          <w:szCs w:val="22"/>
          <w:lang w:val="es-CL"/>
        </w:rPr>
        <w:t>Hansbert</w:t>
      </w:r>
      <w:proofErr w:type="spellEnd"/>
      <w:r w:rsidR="003841FD" w:rsidRPr="00452953">
        <w:rPr>
          <w:b w:val="0"/>
          <w:szCs w:val="22"/>
          <w:lang w:val="es-CL"/>
        </w:rPr>
        <w:t xml:space="preserve"> </w:t>
      </w:r>
      <w:proofErr w:type="spellStart"/>
      <w:r w:rsidR="003841FD" w:rsidRPr="00452953">
        <w:rPr>
          <w:b w:val="0"/>
          <w:szCs w:val="22"/>
          <w:lang w:val="es-CL"/>
        </w:rPr>
        <w:t>Ott</w:t>
      </w:r>
      <w:proofErr w:type="spellEnd"/>
      <w:r w:rsidR="003841FD" w:rsidRPr="00452953">
        <w:rPr>
          <w:b w:val="0"/>
          <w:szCs w:val="22"/>
          <w:lang w:val="es-CL"/>
        </w:rPr>
        <w:t xml:space="preserve"> (</w:t>
      </w:r>
      <w:proofErr w:type="spellStart"/>
      <w:r w:rsidR="003841FD" w:rsidRPr="00452953">
        <w:rPr>
          <w:b w:val="0"/>
          <w:szCs w:val="22"/>
          <w:lang w:val="es-CL"/>
        </w:rPr>
        <w:t>Weinmann</w:t>
      </w:r>
      <w:proofErr w:type="spellEnd"/>
      <w:r w:rsidR="003841FD" w:rsidRPr="00452953">
        <w:rPr>
          <w:b w:val="0"/>
          <w:szCs w:val="22"/>
          <w:lang w:val="es-CL"/>
        </w:rPr>
        <w:t xml:space="preserve">), Cristián Montes (E2E) Charles </w:t>
      </w:r>
      <w:proofErr w:type="spellStart"/>
      <w:r w:rsidR="003841FD" w:rsidRPr="00452953">
        <w:rPr>
          <w:b w:val="0"/>
          <w:szCs w:val="22"/>
          <w:lang w:val="es-CL"/>
        </w:rPr>
        <w:t>Kimber</w:t>
      </w:r>
      <w:proofErr w:type="spellEnd"/>
      <w:r w:rsidR="003841FD" w:rsidRPr="00452953">
        <w:rPr>
          <w:b w:val="0"/>
          <w:szCs w:val="22"/>
          <w:lang w:val="es-CL"/>
        </w:rPr>
        <w:t xml:space="preserve"> (Arauco).</w:t>
      </w:r>
    </w:p>
    <w:p w14:paraId="6263926B" w14:textId="77777777" w:rsidR="003841FD" w:rsidRPr="00452953" w:rsidRDefault="003841FD" w:rsidP="003841FD">
      <w:pPr>
        <w:ind w:right="-1134"/>
        <w:rPr>
          <w:lang w:val="es-CL"/>
        </w:rPr>
      </w:pPr>
    </w:p>
    <w:p w14:paraId="5401780D" w14:textId="1D942B4D" w:rsidR="003841FD" w:rsidRPr="00452953" w:rsidRDefault="003841FD" w:rsidP="003841FD">
      <w:pPr>
        <w:pStyle w:val="Ttulo"/>
        <w:ind w:right="-1134"/>
        <w:rPr>
          <w:lang w:val="es-CL"/>
        </w:rPr>
      </w:pPr>
      <w:r w:rsidRPr="00452953">
        <w:rPr>
          <w:noProof/>
          <w:lang w:val="es-CL" w:eastAsia="pt-BR"/>
        </w:rPr>
        <w:lastRenderedPageBreak/>
        <w:drawing>
          <wp:inline distT="0" distB="0" distL="0" distR="0" wp14:anchorId="25F7D1EE" wp14:editId="248EFC6B">
            <wp:extent cx="2520000" cy="1551389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to 0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551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2953">
        <w:rPr>
          <w:lang w:val="es-CL"/>
        </w:rPr>
        <w:br/>
      </w:r>
      <w:r w:rsidR="00B8073E" w:rsidRPr="00452953">
        <w:rPr>
          <w:lang w:val="es-CL"/>
        </w:rPr>
        <w:t>Imagen</w:t>
      </w:r>
      <w:r w:rsidRPr="00452953">
        <w:rPr>
          <w:lang w:val="es-CL"/>
        </w:rPr>
        <w:t xml:space="preserve"> 2:</w:t>
      </w:r>
    </w:p>
    <w:p w14:paraId="57676742" w14:textId="0AAC6707" w:rsidR="003841FD" w:rsidRPr="00452953" w:rsidRDefault="00B8073E" w:rsidP="003841FD">
      <w:pPr>
        <w:pStyle w:val="Ttulo"/>
        <w:ind w:right="-1134"/>
        <w:rPr>
          <w:b w:val="0"/>
          <w:szCs w:val="22"/>
          <w:lang w:val="es-CL"/>
        </w:rPr>
      </w:pPr>
      <w:r>
        <w:rPr>
          <w:b w:val="0"/>
          <w:szCs w:val="22"/>
          <w:lang w:val="es-CL"/>
        </w:rPr>
        <w:t>De derecha a izquierda</w:t>
      </w:r>
      <w:r w:rsidRPr="00452953">
        <w:rPr>
          <w:b w:val="0"/>
          <w:szCs w:val="22"/>
          <w:lang w:val="es-CL"/>
        </w:rPr>
        <w:t>:</w:t>
      </w:r>
      <w:r w:rsidR="003841FD" w:rsidRPr="00452953">
        <w:rPr>
          <w:b w:val="0"/>
          <w:szCs w:val="22"/>
          <w:lang w:val="es-CL"/>
        </w:rPr>
        <w:t xml:space="preserve"> </w:t>
      </w:r>
      <w:proofErr w:type="spellStart"/>
      <w:r w:rsidR="003841FD" w:rsidRPr="00452953">
        <w:rPr>
          <w:b w:val="0"/>
          <w:szCs w:val="22"/>
          <w:lang w:val="es-CL"/>
        </w:rPr>
        <w:t>Hansbert</w:t>
      </w:r>
      <w:proofErr w:type="spellEnd"/>
      <w:r w:rsidR="003841FD" w:rsidRPr="00452953">
        <w:rPr>
          <w:b w:val="0"/>
          <w:szCs w:val="22"/>
          <w:lang w:val="es-CL"/>
        </w:rPr>
        <w:t xml:space="preserve"> </w:t>
      </w:r>
      <w:proofErr w:type="spellStart"/>
      <w:r w:rsidR="003841FD" w:rsidRPr="00452953">
        <w:rPr>
          <w:b w:val="0"/>
          <w:szCs w:val="22"/>
          <w:lang w:val="es-CL"/>
        </w:rPr>
        <w:t>Ott</w:t>
      </w:r>
      <w:proofErr w:type="spellEnd"/>
      <w:r w:rsidR="003841FD" w:rsidRPr="00452953">
        <w:rPr>
          <w:b w:val="0"/>
          <w:szCs w:val="22"/>
          <w:lang w:val="es-CL"/>
        </w:rPr>
        <w:t xml:space="preserve"> (</w:t>
      </w:r>
      <w:proofErr w:type="spellStart"/>
      <w:r w:rsidR="009C50A5">
        <w:rPr>
          <w:b w:val="0"/>
          <w:szCs w:val="22"/>
          <w:lang w:val="es-CL"/>
        </w:rPr>
        <w:t>Managing</w:t>
      </w:r>
      <w:proofErr w:type="spellEnd"/>
      <w:r w:rsidR="009C50A5">
        <w:rPr>
          <w:b w:val="0"/>
          <w:szCs w:val="22"/>
          <w:lang w:val="es-CL"/>
        </w:rPr>
        <w:t xml:space="preserve"> Director de</w:t>
      </w:r>
      <w:r w:rsidR="003841FD" w:rsidRPr="00452953">
        <w:rPr>
          <w:b w:val="0"/>
          <w:szCs w:val="22"/>
          <w:lang w:val="es-CL"/>
        </w:rPr>
        <w:t xml:space="preserve"> WEINMANN), Felipe Montes (</w:t>
      </w:r>
      <w:r w:rsidR="00E4620E" w:rsidRPr="00E4620E">
        <w:rPr>
          <w:b w:val="0"/>
          <w:szCs w:val="22"/>
          <w:lang w:val="es-CL"/>
        </w:rPr>
        <w:t>Gerente General</w:t>
      </w:r>
      <w:r w:rsidR="003841FD" w:rsidRPr="00452953">
        <w:rPr>
          <w:b w:val="0"/>
          <w:szCs w:val="22"/>
          <w:lang w:val="es-CL"/>
        </w:rPr>
        <w:t xml:space="preserve"> </w:t>
      </w:r>
      <w:r w:rsidR="003841FD" w:rsidRPr="00452953">
        <w:rPr>
          <w:b w:val="0"/>
          <w:szCs w:val="22"/>
          <w:lang w:val="es-CL"/>
        </w:rPr>
        <w:t>E2E), Jorge Panjkovich (</w:t>
      </w:r>
      <w:r w:rsidR="009C50A5" w:rsidRPr="009C50A5">
        <w:rPr>
          <w:b w:val="0"/>
          <w:szCs w:val="22"/>
          <w:lang w:val="es-CL"/>
        </w:rPr>
        <w:t>Gerente socio fundador de Limaq</w:t>
      </w:r>
      <w:r w:rsidR="003841FD" w:rsidRPr="00452953">
        <w:rPr>
          <w:b w:val="0"/>
          <w:szCs w:val="22"/>
          <w:lang w:val="es-CL"/>
        </w:rPr>
        <w:t>)</w:t>
      </w:r>
    </w:p>
    <w:p w14:paraId="228DFEA1" w14:textId="6EC16FC8" w:rsidR="003841FD" w:rsidRPr="00452953" w:rsidRDefault="003841FD" w:rsidP="003841FD">
      <w:pPr>
        <w:ind w:right="-1134"/>
        <w:rPr>
          <w:lang w:val="es-CL"/>
        </w:rPr>
      </w:pPr>
    </w:p>
    <w:p w14:paraId="4834CCB5" w14:textId="622C4E5F" w:rsidR="003841FD" w:rsidRPr="00452953" w:rsidRDefault="003841FD" w:rsidP="003841FD">
      <w:pPr>
        <w:pStyle w:val="Ttulo"/>
        <w:ind w:right="-1134"/>
        <w:rPr>
          <w:lang w:val="es-CL"/>
        </w:rPr>
      </w:pPr>
      <w:r w:rsidRPr="00452953">
        <w:rPr>
          <w:noProof/>
          <w:lang w:val="es-CL" w:eastAsia="pt-BR"/>
        </w:rPr>
        <w:drawing>
          <wp:inline distT="0" distB="0" distL="0" distR="0" wp14:anchorId="29574CCA" wp14:editId="53B2FF3C">
            <wp:extent cx="2520000" cy="1988333"/>
            <wp:effectExtent l="0" t="0" r="0" b="0"/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to 0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98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2953">
        <w:rPr>
          <w:lang w:val="es-CL"/>
        </w:rPr>
        <w:br/>
      </w:r>
      <w:r w:rsidR="00B8073E" w:rsidRPr="00452953">
        <w:rPr>
          <w:lang w:val="es-CL"/>
        </w:rPr>
        <w:t>Imagen</w:t>
      </w:r>
      <w:r w:rsidRPr="00452953">
        <w:rPr>
          <w:lang w:val="es-CL"/>
        </w:rPr>
        <w:t xml:space="preserve"> 3:</w:t>
      </w:r>
    </w:p>
    <w:p w14:paraId="7E4FC14F" w14:textId="27D9355A" w:rsidR="00481597" w:rsidRPr="00452953" w:rsidRDefault="003841FD" w:rsidP="003841FD">
      <w:pPr>
        <w:pStyle w:val="Ttulo"/>
        <w:ind w:right="-1134"/>
        <w:rPr>
          <w:b w:val="0"/>
          <w:szCs w:val="22"/>
          <w:lang w:val="es-CL"/>
        </w:rPr>
      </w:pPr>
      <w:proofErr w:type="spellStart"/>
      <w:r w:rsidRPr="00452953">
        <w:rPr>
          <w:b w:val="0"/>
          <w:szCs w:val="22"/>
          <w:lang w:val="es-CL"/>
        </w:rPr>
        <w:t>Hansbert</w:t>
      </w:r>
      <w:proofErr w:type="spellEnd"/>
      <w:r w:rsidRPr="00452953">
        <w:rPr>
          <w:b w:val="0"/>
          <w:szCs w:val="22"/>
          <w:lang w:val="es-CL"/>
        </w:rPr>
        <w:t xml:space="preserve"> </w:t>
      </w:r>
      <w:proofErr w:type="spellStart"/>
      <w:r w:rsidRPr="00452953">
        <w:rPr>
          <w:b w:val="0"/>
          <w:szCs w:val="22"/>
          <w:lang w:val="es-CL"/>
        </w:rPr>
        <w:t>Ott</w:t>
      </w:r>
      <w:proofErr w:type="spellEnd"/>
      <w:r w:rsidRPr="00452953">
        <w:rPr>
          <w:b w:val="0"/>
          <w:szCs w:val="22"/>
          <w:lang w:val="es-CL"/>
        </w:rPr>
        <w:t xml:space="preserve"> (</w:t>
      </w:r>
      <w:proofErr w:type="spellStart"/>
      <w:r w:rsidR="009C50A5">
        <w:rPr>
          <w:b w:val="0"/>
          <w:szCs w:val="22"/>
          <w:lang w:val="es-CL"/>
        </w:rPr>
        <w:t>Managing</w:t>
      </w:r>
      <w:proofErr w:type="spellEnd"/>
      <w:r w:rsidR="009C50A5">
        <w:rPr>
          <w:b w:val="0"/>
          <w:szCs w:val="22"/>
          <w:lang w:val="es-CL"/>
        </w:rPr>
        <w:t xml:space="preserve"> </w:t>
      </w:r>
      <w:r w:rsidRPr="00452953">
        <w:rPr>
          <w:b w:val="0"/>
          <w:szCs w:val="22"/>
          <w:lang w:val="es-CL"/>
        </w:rPr>
        <w:t xml:space="preserve">Director </w:t>
      </w:r>
      <w:r w:rsidR="00E4620E">
        <w:rPr>
          <w:b w:val="0"/>
          <w:szCs w:val="22"/>
          <w:lang w:val="es-CL"/>
        </w:rPr>
        <w:t>de</w:t>
      </w:r>
      <w:r w:rsidRPr="00452953">
        <w:rPr>
          <w:b w:val="0"/>
          <w:szCs w:val="22"/>
          <w:lang w:val="es-CL"/>
        </w:rPr>
        <w:t xml:space="preserve"> WEINMANN) </w:t>
      </w:r>
      <w:r w:rsidR="00B8073E">
        <w:rPr>
          <w:b w:val="0"/>
          <w:szCs w:val="22"/>
          <w:lang w:val="es-CL"/>
        </w:rPr>
        <w:t>y</w:t>
      </w:r>
      <w:r w:rsidRPr="00452953">
        <w:rPr>
          <w:b w:val="0"/>
          <w:szCs w:val="22"/>
          <w:lang w:val="es-CL"/>
        </w:rPr>
        <w:t xml:space="preserve"> Felipe Montes (</w:t>
      </w:r>
      <w:r w:rsidR="00E4620E" w:rsidRPr="00E4620E">
        <w:rPr>
          <w:b w:val="0"/>
          <w:szCs w:val="22"/>
          <w:lang w:val="es-CL"/>
        </w:rPr>
        <w:t>Gerente General</w:t>
      </w:r>
      <w:r w:rsidR="00E4620E" w:rsidRPr="00E4620E">
        <w:rPr>
          <w:b w:val="0"/>
          <w:szCs w:val="22"/>
          <w:lang w:val="es-CL"/>
        </w:rPr>
        <w:t xml:space="preserve"> </w:t>
      </w:r>
      <w:r w:rsidRPr="00452953">
        <w:rPr>
          <w:b w:val="0"/>
          <w:szCs w:val="22"/>
          <w:lang w:val="es-CL"/>
        </w:rPr>
        <w:t>E2E)</w:t>
      </w:r>
    </w:p>
    <w:sectPr w:rsidR="00481597" w:rsidRPr="00452953" w:rsidSect="0027360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/>
      <w:pgMar w:top="2268" w:right="2268" w:bottom="993" w:left="1134" w:header="567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B0A9C" w14:textId="77777777" w:rsidR="000826B9" w:rsidRDefault="000826B9">
      <w:r>
        <w:separator/>
      </w:r>
    </w:p>
  </w:endnote>
  <w:endnote w:type="continuationSeparator" w:id="0">
    <w:p w14:paraId="7752F258" w14:textId="77777777" w:rsidR="000826B9" w:rsidRDefault="0008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25751" w14:textId="77777777" w:rsidR="007D4E31" w:rsidRDefault="007D4E3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FC15D" w14:textId="77777777" w:rsidR="0054012D" w:rsidRDefault="0054012D">
    <w:pPr>
      <w:pStyle w:val="Rodap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01676" w14:textId="77777777" w:rsidR="007D4E31" w:rsidRDefault="007D4E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F544C" w14:textId="77777777" w:rsidR="000826B9" w:rsidRDefault="000826B9">
      <w:r>
        <w:separator/>
      </w:r>
    </w:p>
  </w:footnote>
  <w:footnote w:type="continuationSeparator" w:id="0">
    <w:p w14:paraId="513E1F03" w14:textId="77777777" w:rsidR="000826B9" w:rsidRDefault="00082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CB752" w14:textId="77777777" w:rsidR="007D4E31" w:rsidRDefault="007D4E3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FC155" w14:textId="77777777" w:rsidR="0054012D" w:rsidRDefault="0054012D" w:rsidP="001C1F3B">
    <w:pPr>
      <w:pStyle w:val="Cabealho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</w:t>
    </w:r>
    <w:r w:rsidR="005E0924">
      <w:rPr>
        <w:sz w:val="32"/>
      </w:rPr>
      <w:t xml:space="preserve"> Release</w:t>
    </w:r>
    <w:r>
      <w:rPr>
        <w:b/>
        <w:sz w:val="28"/>
      </w:rPr>
      <w:tab/>
    </w:r>
    <w:r w:rsidR="00341AB8">
      <w:rPr>
        <w:noProof/>
        <w:lang w:val="pt-BR" w:eastAsia="pt-BR"/>
      </w:rPr>
      <w:drawing>
        <wp:inline distT="0" distB="0" distL="0" distR="0" wp14:anchorId="7E4FC160" wp14:editId="7E4FC161">
          <wp:extent cx="2289053" cy="252985"/>
          <wp:effectExtent l="0" t="0" r="0" b="0"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INMANN_Logo_4C-P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053" cy="252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7E4FC15A" w14:textId="77777777" w:rsidTr="00C74CDC">
      <w:tc>
        <w:tcPr>
          <w:tcW w:w="3402" w:type="dxa"/>
        </w:tcPr>
        <w:p w14:paraId="7E4FC156" w14:textId="3C4851D1" w:rsidR="00C74CDC" w:rsidRDefault="003841FD" w:rsidP="00913173">
          <w:pPr>
            <w:pStyle w:val="Cabealho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E2E – Chile</w:t>
          </w:r>
        </w:p>
        <w:p w14:paraId="7E4FC157" w14:textId="77777777" w:rsidR="00C74CDC" w:rsidRDefault="00C74CDC" w:rsidP="00913173">
          <w:pPr>
            <w:pStyle w:val="Cabealho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7E4FC158" w14:textId="10FD0044" w:rsidR="00C74CDC" w:rsidRDefault="007D4E31" w:rsidP="00913173">
          <w:pPr>
            <w:pStyle w:val="Cabealho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Página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072925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072925">
            <w:rPr>
              <w:noProof/>
              <w:sz w:val="18"/>
            </w:rPr>
            <w:t>4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7E4FC159" w14:textId="13A0D5B7" w:rsidR="00C74CDC" w:rsidRDefault="00C74CDC" w:rsidP="007D4E31">
          <w:pPr>
            <w:pStyle w:val="Cabealho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7D4E31">
            <w:rPr>
              <w:sz w:val="18"/>
            </w:rPr>
            <w:t>Outubro</w:t>
          </w:r>
          <w:r>
            <w:rPr>
              <w:sz w:val="18"/>
            </w:rPr>
            <w:t xml:space="preserve"> 201</w:t>
          </w:r>
          <w:r w:rsidR="00F53D1F">
            <w:rPr>
              <w:sz w:val="18"/>
            </w:rPr>
            <w:t>9</w:t>
          </w:r>
        </w:p>
      </w:tc>
    </w:tr>
  </w:tbl>
  <w:p w14:paraId="7E4FC15B" w14:textId="77777777" w:rsidR="0054012D" w:rsidRPr="00F2656D" w:rsidRDefault="0054012D">
    <w:pPr>
      <w:pStyle w:val="Cabealho"/>
      <w:widowControl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1CC6D" w14:textId="77777777" w:rsidR="007D4E31" w:rsidRDefault="007D4E3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24EE9"/>
    <w:rsid w:val="000471D4"/>
    <w:rsid w:val="000626D3"/>
    <w:rsid w:val="00064DE4"/>
    <w:rsid w:val="00070D5B"/>
    <w:rsid w:val="00072925"/>
    <w:rsid w:val="00080779"/>
    <w:rsid w:val="000826B9"/>
    <w:rsid w:val="00087568"/>
    <w:rsid w:val="000B40DB"/>
    <w:rsid w:val="000D1074"/>
    <w:rsid w:val="000D5284"/>
    <w:rsid w:val="000E13E2"/>
    <w:rsid w:val="000E66EC"/>
    <w:rsid w:val="001009AB"/>
    <w:rsid w:val="00100A39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B0CDC"/>
    <w:rsid w:val="001C1F3B"/>
    <w:rsid w:val="001C3917"/>
    <w:rsid w:val="001D7A81"/>
    <w:rsid w:val="001E501D"/>
    <w:rsid w:val="001F5F23"/>
    <w:rsid w:val="001F6AB9"/>
    <w:rsid w:val="00213A46"/>
    <w:rsid w:val="00216428"/>
    <w:rsid w:val="0022697A"/>
    <w:rsid w:val="002560A1"/>
    <w:rsid w:val="00257269"/>
    <w:rsid w:val="00262EF5"/>
    <w:rsid w:val="00272217"/>
    <w:rsid w:val="0027360F"/>
    <w:rsid w:val="00274D1F"/>
    <w:rsid w:val="00275BDC"/>
    <w:rsid w:val="00276C42"/>
    <w:rsid w:val="002A19F6"/>
    <w:rsid w:val="002A557A"/>
    <w:rsid w:val="003014A3"/>
    <w:rsid w:val="00306F18"/>
    <w:rsid w:val="00320DFB"/>
    <w:rsid w:val="00321923"/>
    <w:rsid w:val="003220C3"/>
    <w:rsid w:val="00341AB8"/>
    <w:rsid w:val="00346010"/>
    <w:rsid w:val="003463D1"/>
    <w:rsid w:val="00351017"/>
    <w:rsid w:val="00367548"/>
    <w:rsid w:val="003804F3"/>
    <w:rsid w:val="003841FD"/>
    <w:rsid w:val="003A0D46"/>
    <w:rsid w:val="003A464D"/>
    <w:rsid w:val="003D6FB3"/>
    <w:rsid w:val="003E1736"/>
    <w:rsid w:val="003E3908"/>
    <w:rsid w:val="00401216"/>
    <w:rsid w:val="00415721"/>
    <w:rsid w:val="004401F4"/>
    <w:rsid w:val="004407DC"/>
    <w:rsid w:val="00443069"/>
    <w:rsid w:val="00445EF9"/>
    <w:rsid w:val="00452953"/>
    <w:rsid w:val="004605F6"/>
    <w:rsid w:val="0046535F"/>
    <w:rsid w:val="00481597"/>
    <w:rsid w:val="004817FB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70F4C"/>
    <w:rsid w:val="0058077E"/>
    <w:rsid w:val="0058611D"/>
    <w:rsid w:val="0058634F"/>
    <w:rsid w:val="005A5380"/>
    <w:rsid w:val="005C623C"/>
    <w:rsid w:val="005D59E6"/>
    <w:rsid w:val="005E0924"/>
    <w:rsid w:val="005F022F"/>
    <w:rsid w:val="005F3F60"/>
    <w:rsid w:val="006143F9"/>
    <w:rsid w:val="00623204"/>
    <w:rsid w:val="0066716B"/>
    <w:rsid w:val="00697D14"/>
    <w:rsid w:val="006C15C6"/>
    <w:rsid w:val="006D5941"/>
    <w:rsid w:val="006E1BAA"/>
    <w:rsid w:val="006F1125"/>
    <w:rsid w:val="0070039B"/>
    <w:rsid w:val="007143F9"/>
    <w:rsid w:val="00735FDB"/>
    <w:rsid w:val="00737128"/>
    <w:rsid w:val="00742CE2"/>
    <w:rsid w:val="00747D17"/>
    <w:rsid w:val="0076147E"/>
    <w:rsid w:val="00772ED8"/>
    <w:rsid w:val="00774ABF"/>
    <w:rsid w:val="0079664A"/>
    <w:rsid w:val="007A4EF3"/>
    <w:rsid w:val="007B0121"/>
    <w:rsid w:val="007D4E31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4CAE"/>
    <w:rsid w:val="00945BCA"/>
    <w:rsid w:val="009479AC"/>
    <w:rsid w:val="0097733B"/>
    <w:rsid w:val="009A1B07"/>
    <w:rsid w:val="009A4FA6"/>
    <w:rsid w:val="009C50A5"/>
    <w:rsid w:val="009C58AA"/>
    <w:rsid w:val="009C73C6"/>
    <w:rsid w:val="009D5F7A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70B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073E"/>
    <w:rsid w:val="00B8324A"/>
    <w:rsid w:val="00BA3C3F"/>
    <w:rsid w:val="00BC229D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355F"/>
    <w:rsid w:val="00D043C0"/>
    <w:rsid w:val="00D05F12"/>
    <w:rsid w:val="00D071E6"/>
    <w:rsid w:val="00D113BA"/>
    <w:rsid w:val="00D322E6"/>
    <w:rsid w:val="00D40674"/>
    <w:rsid w:val="00D50588"/>
    <w:rsid w:val="00D6302F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251B1"/>
    <w:rsid w:val="00E36539"/>
    <w:rsid w:val="00E4620E"/>
    <w:rsid w:val="00E471E2"/>
    <w:rsid w:val="00E4780C"/>
    <w:rsid w:val="00E54363"/>
    <w:rsid w:val="00E7070B"/>
    <w:rsid w:val="00E93B4F"/>
    <w:rsid w:val="00EA2406"/>
    <w:rsid w:val="00EA2EAC"/>
    <w:rsid w:val="00EA3D1C"/>
    <w:rsid w:val="00EA6393"/>
    <w:rsid w:val="00EC3092"/>
    <w:rsid w:val="00EE5B89"/>
    <w:rsid w:val="00F05208"/>
    <w:rsid w:val="00F06CA2"/>
    <w:rsid w:val="00F12542"/>
    <w:rsid w:val="00F23A94"/>
    <w:rsid w:val="00F2656D"/>
    <w:rsid w:val="00F26FBF"/>
    <w:rsid w:val="00F314D7"/>
    <w:rsid w:val="00F53D1F"/>
    <w:rsid w:val="00F62BC5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4FC122"/>
  <w15:docId w15:val="{9FEBDB5F-E1DB-4295-A702-E23AFF3E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Ttulo1">
    <w:name w:val="heading 1"/>
    <w:aliases w:val="Big Headline"/>
    <w:basedOn w:val="Normal"/>
    <w:next w:val="Normal"/>
    <w:qFormat/>
    <w:rsid w:val="00F62BC5"/>
    <w:pPr>
      <w:spacing w:after="360"/>
      <w:outlineLvl w:val="0"/>
    </w:pPr>
    <w:rPr>
      <w:b/>
      <w:color w:val="00A0DC" w:themeColor="background2"/>
      <w:sz w:val="32"/>
    </w:rPr>
  </w:style>
  <w:style w:type="paragraph" w:styleId="Ttulo2">
    <w:name w:val="heading 2"/>
    <w:aliases w:val="Sub-Headline"/>
    <w:basedOn w:val="Normal"/>
    <w:next w:val="Normal"/>
    <w:qFormat/>
    <w:rsid w:val="00F62BC5"/>
    <w:pPr>
      <w:spacing w:before="600"/>
      <w:outlineLvl w:val="1"/>
    </w:pPr>
    <w:rPr>
      <w:b/>
      <w:color w:val="001941" w:themeColor="text2"/>
      <w:sz w:val="24"/>
    </w:rPr>
  </w:style>
  <w:style w:type="paragraph" w:styleId="Ttulo3">
    <w:name w:val="heading 3"/>
    <w:aliases w:val="Small Headline above Big Headline"/>
    <w:basedOn w:val="Normal"/>
    <w:next w:val="Normal"/>
    <w:qFormat/>
    <w:rsid w:val="00EA2EAC"/>
    <w:pPr>
      <w:spacing w:before="240"/>
      <w:outlineLvl w:val="2"/>
    </w:pPr>
    <w:rPr>
      <w:b/>
      <w:color w:val="001941" w:themeColor="text2"/>
    </w:rPr>
  </w:style>
  <w:style w:type="paragraph" w:styleId="Ttulo4">
    <w:name w:val="heading 4"/>
    <w:basedOn w:val="Normal"/>
    <w:next w:val="Normal"/>
    <w:pPr>
      <w:spacing w:before="120"/>
      <w:outlineLvl w:val="3"/>
    </w:pPr>
  </w:style>
  <w:style w:type="paragraph" w:styleId="Ttulo5">
    <w:name w:val="heading 5"/>
    <w:basedOn w:val="Normal"/>
    <w:next w:val="Normal"/>
    <w:pPr>
      <w:spacing w:before="240"/>
      <w:outlineLvl w:val="4"/>
    </w:pPr>
  </w:style>
  <w:style w:type="paragraph" w:styleId="Ttulo6">
    <w:name w:val="heading 6"/>
    <w:basedOn w:val="Normal"/>
    <w:next w:val="Normal"/>
    <w:pPr>
      <w:spacing w:before="240"/>
      <w:outlineLvl w:val="5"/>
    </w:pPr>
    <w:rPr>
      <w:i/>
    </w:rPr>
  </w:style>
  <w:style w:type="paragraph" w:styleId="Ttulo7">
    <w:name w:val="heading 7"/>
    <w:basedOn w:val="Normal"/>
    <w:next w:val="Normal"/>
    <w:pPr>
      <w:spacing w:before="240"/>
      <w:outlineLvl w:val="6"/>
    </w:pPr>
    <w:rPr>
      <w:sz w:val="20"/>
    </w:rPr>
  </w:style>
  <w:style w:type="paragraph" w:styleId="Ttulo8">
    <w:name w:val="heading 8"/>
    <w:basedOn w:val="Normal"/>
    <w:next w:val="Normal"/>
    <w:pPr>
      <w:spacing w:before="240"/>
      <w:outlineLvl w:val="7"/>
    </w:pPr>
    <w:rPr>
      <w:i/>
      <w:sz w:val="20"/>
    </w:rPr>
  </w:style>
  <w:style w:type="paragraph" w:styleId="Ttulo9">
    <w:name w:val="heading 9"/>
    <w:basedOn w:val="Normal"/>
    <w:next w:val="Normal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left" w:pos="1418"/>
        <w:tab w:val="left" w:pos="1560"/>
        <w:tab w:val="right" w:pos="9072"/>
      </w:tabs>
    </w:pPr>
  </w:style>
  <w:style w:type="paragraph" w:styleId="Rodap">
    <w:name w:val="footer"/>
    <w:basedOn w:val="Normal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Sumrio1">
    <w:name w:val="toc 1"/>
    <w:basedOn w:val="Normal"/>
    <w:next w:val="Normal"/>
    <w:semiHidden/>
    <w:pPr>
      <w:tabs>
        <w:tab w:val="right" w:leader="dot" w:pos="9639"/>
      </w:tabs>
      <w:spacing w:before="120"/>
    </w:pPr>
    <w:rPr>
      <w:b/>
    </w:rPr>
  </w:style>
  <w:style w:type="paragraph" w:styleId="Sumrio2">
    <w:name w:val="toc 2"/>
    <w:basedOn w:val="Normal"/>
    <w:next w:val="Normal"/>
    <w:semiHidden/>
    <w:pPr>
      <w:tabs>
        <w:tab w:val="right" w:leader="dot" w:pos="9639"/>
      </w:tabs>
      <w:ind w:left="238"/>
    </w:pPr>
  </w:style>
  <w:style w:type="paragraph" w:styleId="Sumrio3">
    <w:name w:val="toc 3"/>
    <w:basedOn w:val="Normal"/>
    <w:next w:val="Normal"/>
    <w:semiHidden/>
    <w:pPr>
      <w:tabs>
        <w:tab w:val="right" w:leader="dot" w:pos="9639"/>
      </w:tabs>
      <w:ind w:left="482"/>
    </w:pPr>
  </w:style>
  <w:style w:type="paragraph" w:styleId="Sumrio4">
    <w:name w:val="toc 4"/>
    <w:basedOn w:val="Normal"/>
    <w:next w:val="Normal"/>
    <w:semiHidden/>
    <w:pPr>
      <w:tabs>
        <w:tab w:val="right" w:leader="dot" w:pos="9639"/>
      </w:tabs>
      <w:ind w:left="720"/>
    </w:pPr>
  </w:style>
  <w:style w:type="paragraph" w:styleId="Sumrio5">
    <w:name w:val="toc 5"/>
    <w:basedOn w:val="Normal"/>
    <w:next w:val="Normal"/>
    <w:semiHidden/>
    <w:pPr>
      <w:tabs>
        <w:tab w:val="right" w:leader="dot" w:pos="9639"/>
      </w:tabs>
      <w:ind w:left="958"/>
    </w:pPr>
  </w:style>
  <w:style w:type="paragraph" w:styleId="Sumrio6">
    <w:name w:val="toc 6"/>
    <w:basedOn w:val="Normal"/>
    <w:next w:val="Normal"/>
    <w:semiHidden/>
    <w:pPr>
      <w:tabs>
        <w:tab w:val="right" w:leader="dot" w:pos="9639"/>
      </w:tabs>
      <w:ind w:left="1200"/>
    </w:pPr>
  </w:style>
  <w:style w:type="paragraph" w:styleId="Sumrio7">
    <w:name w:val="toc 7"/>
    <w:basedOn w:val="Normal"/>
    <w:next w:val="Normal"/>
    <w:semiHidden/>
    <w:pPr>
      <w:tabs>
        <w:tab w:val="right" w:leader="dot" w:pos="9639"/>
      </w:tabs>
      <w:ind w:left="1440"/>
    </w:pPr>
  </w:style>
  <w:style w:type="paragraph" w:styleId="Sumrio8">
    <w:name w:val="toc 8"/>
    <w:basedOn w:val="Normal"/>
    <w:next w:val="Normal"/>
    <w:semiHidden/>
    <w:pPr>
      <w:tabs>
        <w:tab w:val="right" w:leader="dot" w:pos="9639"/>
      </w:tabs>
      <w:ind w:left="1680"/>
    </w:pPr>
  </w:style>
  <w:style w:type="paragraph" w:styleId="Sumrio9">
    <w:name w:val="toc 9"/>
    <w:basedOn w:val="Normal"/>
    <w:next w:val="Normal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Normal"/>
    <w:next w:val="Normal"/>
    <w:rPr>
      <w:b/>
      <w:sz w:val="28"/>
    </w:rPr>
  </w:style>
  <w:style w:type="paragraph" w:customStyle="1" w:styleId="Standard-Einzug">
    <w:name w:val="Standard-Einzug"/>
    <w:basedOn w:val="Normal"/>
    <w:pPr>
      <w:ind w:left="709"/>
    </w:pPr>
  </w:style>
  <w:style w:type="paragraph" w:styleId="Corpodetexto">
    <w:name w:val="Body Text"/>
    <w:basedOn w:val="Normal"/>
    <w:pPr>
      <w:ind w:right="2835"/>
    </w:pPr>
  </w:style>
  <w:style w:type="paragraph" w:customStyle="1" w:styleId="Textkrper21">
    <w:name w:val="Textkörper 21"/>
    <w:basedOn w:val="Normal"/>
  </w:style>
  <w:style w:type="paragraph" w:customStyle="1" w:styleId="Textkrper31">
    <w:name w:val="Textkörper 31"/>
    <w:basedOn w:val="Normal"/>
    <w:pPr>
      <w:jc w:val="both"/>
    </w:pPr>
  </w:style>
  <w:style w:type="paragraph" w:styleId="Corpodetexto2">
    <w:name w:val="Body Text 2"/>
    <w:basedOn w:val="Normal"/>
    <w:pPr>
      <w:tabs>
        <w:tab w:val="left" w:pos="2410"/>
      </w:tabs>
      <w:jc w:val="both"/>
    </w:pPr>
    <w:rPr>
      <w:b/>
      <w:sz w:val="32"/>
    </w:rPr>
  </w:style>
  <w:style w:type="paragraph" w:styleId="Corpodetexto3">
    <w:name w:val="Body Text 3"/>
    <w:basedOn w:val="Normal"/>
    <w:pPr>
      <w:jc w:val="both"/>
    </w:pPr>
    <w:rPr>
      <w:b/>
      <w:i/>
    </w:rPr>
  </w:style>
  <w:style w:type="paragraph" w:styleId="Legenda">
    <w:name w:val="caption"/>
    <w:basedOn w:val="Normal"/>
    <w:next w:val="Normal"/>
    <w:qFormat/>
    <w:rsid w:val="00F06CA2"/>
    <w:pPr>
      <w:spacing w:after="360"/>
    </w:pPr>
    <w:rPr>
      <w:b/>
    </w:rPr>
  </w:style>
  <w:style w:type="paragraph" w:styleId="Recuonormal">
    <w:name w:val="Normal Indent"/>
    <w:basedOn w:val="Normal"/>
    <w:pPr>
      <w:widowControl/>
      <w:ind w:left="709"/>
    </w:pPr>
  </w:style>
  <w:style w:type="paragraph" w:styleId="Textodebalo">
    <w:name w:val="Balloon Text"/>
    <w:basedOn w:val="Normal"/>
    <w:semiHidden/>
    <w:rsid w:val="006F1125"/>
    <w:rPr>
      <w:rFonts w:ascii="Tahoma" w:hAnsi="Tahoma" w:cs="Tahoma"/>
      <w:sz w:val="16"/>
      <w:szCs w:val="16"/>
    </w:rPr>
  </w:style>
  <w:style w:type="paragraph" w:styleId="SemEspaamento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tulo">
    <w:name w:val="Title"/>
    <w:aliases w:val="Title of image"/>
    <w:basedOn w:val="Normal"/>
    <w:next w:val="Normal"/>
    <w:link w:val="TtuloChar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tuloChar">
    <w:name w:val="Título Char"/>
    <w:aliases w:val="Title of image Char"/>
    <w:basedOn w:val="Fontepargpadro"/>
    <w:link w:val="Ttulo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Subttulo">
    <w:name w:val="Subtitle"/>
    <w:aliases w:val="Kontaktdaten"/>
    <w:basedOn w:val="Normal"/>
    <w:next w:val="Normal"/>
    <w:link w:val="SubttuloChar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SubttuloChar">
    <w:name w:val="Subtítulo Char"/>
    <w:aliases w:val="Kontaktdaten Char"/>
    <w:basedOn w:val="Fontepargpadro"/>
    <w:link w:val="Subttulo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Normal"/>
    <w:qFormat/>
    <w:rsid w:val="001B0CDC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paragraph" w:customStyle="1" w:styleId="Cuerpo">
    <w:name w:val="Cuerpo"/>
    <w:rsid w:val="002736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2"/>
      <w:szCs w:val="22"/>
      <w:u w:color="000000"/>
      <w:bdr w:val="nil"/>
      <w:lang w:val="es-ES_tradnl" w:eastAsia="pt-BR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  <w:rsid w:val="0027360F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E2E68C-816D-4E72-BA6E-0EFB4AB80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77C01E-C2E2-4E0D-82E8-60E555F1A2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B54EF-588E-4EAB-B144-22643DE56B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788</Words>
  <Characters>4258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HOMAG Maschinenbau AG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Rabuske, Marlise</cp:lastModifiedBy>
  <cp:revision>8</cp:revision>
  <cp:lastPrinted>2019-10-14T14:55:00Z</cp:lastPrinted>
  <dcterms:created xsi:type="dcterms:W3CDTF">2019-10-14T14:29:00Z</dcterms:created>
  <dcterms:modified xsi:type="dcterms:W3CDTF">2019-10-14T16:37:00Z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