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FC123" w14:textId="38CF8654" w:rsidR="0066716B" w:rsidRPr="00527769" w:rsidRDefault="00527769" w:rsidP="003841FD">
      <w:pPr>
        <w:pStyle w:val="berschrift1"/>
        <w:ind w:right="-1134"/>
      </w:pPr>
      <w:r w:rsidRPr="00527769">
        <w:t>Chile – Vorfertigung gibt Holzbau neuen Stellenwert</w:t>
      </w:r>
    </w:p>
    <w:p w14:paraId="7E4FC125" w14:textId="408DFDF6" w:rsidR="005E0924" w:rsidRPr="00527769" w:rsidRDefault="00527769" w:rsidP="003841FD">
      <w:pPr>
        <w:ind w:right="-1134"/>
        <w:rPr>
          <w:b/>
        </w:rPr>
      </w:pPr>
      <w:r w:rsidRPr="00527769">
        <w:rPr>
          <w:b/>
        </w:rPr>
        <w:t xml:space="preserve">Das Unternehmen E2E aus Chile eröffnet die erste Fabrik für </w:t>
      </w:r>
      <w:r w:rsidR="008B41AB" w:rsidRPr="00527769">
        <w:rPr>
          <w:b/>
        </w:rPr>
        <w:t>vorgefertigte</w:t>
      </w:r>
      <w:r w:rsidRPr="00527769">
        <w:rPr>
          <w:b/>
        </w:rPr>
        <w:t xml:space="preserve"> Gebäude in Holzrahmenbauweise mit einer Umsatzprognose von </w:t>
      </w:r>
      <w:r w:rsidR="003841FD" w:rsidRPr="00527769">
        <w:rPr>
          <w:b/>
        </w:rPr>
        <w:t xml:space="preserve">25 </w:t>
      </w:r>
      <w:r w:rsidRPr="00527769">
        <w:rPr>
          <w:b/>
        </w:rPr>
        <w:t xml:space="preserve">Millionen </w:t>
      </w:r>
      <w:r w:rsidRPr="00527769">
        <w:rPr>
          <w:b/>
        </w:rPr>
        <w:t>US$</w:t>
      </w:r>
      <w:r w:rsidR="003841FD" w:rsidRPr="00527769">
        <w:rPr>
          <w:b/>
        </w:rPr>
        <w:t>.</w:t>
      </w:r>
    </w:p>
    <w:p w14:paraId="7E4FC129" w14:textId="44EF97DB" w:rsidR="00F2656D" w:rsidRPr="00527769" w:rsidRDefault="00F2656D" w:rsidP="003841FD">
      <w:pPr>
        <w:ind w:right="-1134"/>
      </w:pPr>
    </w:p>
    <w:p w14:paraId="265F7BED" w14:textId="4F0462B2" w:rsidR="003841FD" w:rsidRPr="00527769" w:rsidRDefault="00527769" w:rsidP="003841FD">
      <w:pPr>
        <w:ind w:right="-1134"/>
      </w:pPr>
      <w:r w:rsidRPr="00527769">
        <w:t xml:space="preserve">Das Unternehmen </w:t>
      </w:r>
      <w:r w:rsidR="003841FD" w:rsidRPr="00527769">
        <w:t>E2E is</w:t>
      </w:r>
      <w:r w:rsidRPr="00527769">
        <w:t xml:space="preserve">t ein Joint Venture zwischen </w:t>
      </w:r>
      <w:proofErr w:type="spellStart"/>
      <w:r w:rsidRPr="00527769">
        <w:t>Arauco</w:t>
      </w:r>
      <w:proofErr w:type="spellEnd"/>
      <w:r w:rsidRPr="00527769">
        <w:t xml:space="preserve"> und dem belgischen Unternehmen</w:t>
      </w:r>
      <w:r w:rsidR="003841FD" w:rsidRPr="00527769">
        <w:t xml:space="preserve"> </w:t>
      </w:r>
      <w:proofErr w:type="spellStart"/>
      <w:r w:rsidR="003841FD" w:rsidRPr="00527769">
        <w:t>Etex</w:t>
      </w:r>
      <w:proofErr w:type="spellEnd"/>
      <w:r w:rsidR="003841FD" w:rsidRPr="00527769">
        <w:t xml:space="preserve">. </w:t>
      </w:r>
      <w:r w:rsidR="008B41AB">
        <w:t>Die</w:t>
      </w:r>
      <w:r w:rsidRPr="00527769">
        <w:t xml:space="preserve"> Fabrik, die seit Februar 2019 in San</w:t>
      </w:r>
      <w:r w:rsidR="003841FD" w:rsidRPr="00527769">
        <w:t>tiago</w:t>
      </w:r>
      <w:r w:rsidRPr="00527769">
        <w:t xml:space="preserve"> de</w:t>
      </w:r>
      <w:r w:rsidR="003841FD" w:rsidRPr="00527769">
        <w:t xml:space="preserve"> Chile</w:t>
      </w:r>
      <w:r w:rsidRPr="00527769">
        <w:t xml:space="preserve"> in Betrieb ist, b</w:t>
      </w:r>
      <w:bookmarkStart w:id="0" w:name="_GoBack"/>
      <w:bookmarkEnd w:id="0"/>
      <w:r w:rsidRPr="00527769">
        <w:t>ietet eine Kapazität von bis zu 1.000 Wohneinheiten pro Jahr</w:t>
      </w:r>
      <w:r w:rsidR="003841FD" w:rsidRPr="00527769">
        <w:t>.</w:t>
      </w:r>
    </w:p>
    <w:p w14:paraId="0B8859AF" w14:textId="1E394C08" w:rsidR="003841FD" w:rsidRPr="00527769" w:rsidRDefault="00527769" w:rsidP="003841FD">
      <w:pPr>
        <w:ind w:right="-1134"/>
      </w:pPr>
      <w:r>
        <w:rPr>
          <w:lang w:val="en-US"/>
        </w:rPr>
        <w:t xml:space="preserve">Die </w:t>
      </w:r>
      <w:proofErr w:type="spellStart"/>
      <w:r>
        <w:rPr>
          <w:lang w:val="en-US"/>
        </w:rPr>
        <w:t>Umsatzprognose</w:t>
      </w:r>
      <w:proofErr w:type="spellEnd"/>
      <w:r>
        <w:rPr>
          <w:lang w:val="en-US"/>
        </w:rPr>
        <w:t xml:space="preserve"> von 25 </w:t>
      </w:r>
      <w:proofErr w:type="spellStart"/>
      <w:r>
        <w:rPr>
          <w:lang w:val="en-US"/>
        </w:rPr>
        <w:t>Millionen</w:t>
      </w:r>
      <w:proofErr w:type="spellEnd"/>
      <w:r w:rsidR="003841FD" w:rsidRPr="003841FD">
        <w:rPr>
          <w:lang w:val="en-US"/>
        </w:rPr>
        <w:t xml:space="preserve"> US$</w:t>
      </w:r>
      <w:r>
        <w:rPr>
          <w:lang w:val="en-US"/>
        </w:rPr>
        <w:t xml:space="preserve"> </w:t>
      </w:r>
      <w:proofErr w:type="spellStart"/>
      <w:r>
        <w:rPr>
          <w:lang w:val="en-US"/>
        </w:rPr>
        <w:t>für</w:t>
      </w:r>
      <w:proofErr w:type="spellEnd"/>
      <w:r>
        <w:rPr>
          <w:lang w:val="en-US"/>
        </w:rPr>
        <w:t xml:space="preserve"> die </w:t>
      </w:r>
      <w:proofErr w:type="spellStart"/>
      <w:r>
        <w:rPr>
          <w:lang w:val="en-US"/>
        </w:rPr>
        <w:t>kommenden</w:t>
      </w:r>
      <w:proofErr w:type="spellEnd"/>
      <w:r>
        <w:rPr>
          <w:lang w:val="en-US"/>
        </w:rPr>
        <w:t xml:space="preserve"> </w:t>
      </w:r>
      <w:proofErr w:type="spellStart"/>
      <w:r>
        <w:rPr>
          <w:lang w:val="en-US"/>
        </w:rPr>
        <w:t>drei</w:t>
      </w:r>
      <w:proofErr w:type="spellEnd"/>
      <w:r>
        <w:rPr>
          <w:lang w:val="en-US"/>
        </w:rPr>
        <w:t xml:space="preserve"> </w:t>
      </w:r>
      <w:proofErr w:type="spellStart"/>
      <w:r>
        <w:rPr>
          <w:lang w:val="en-US"/>
        </w:rPr>
        <w:t>Jahre</w:t>
      </w:r>
      <w:proofErr w:type="spellEnd"/>
      <w:r>
        <w:rPr>
          <w:lang w:val="en-US"/>
        </w:rPr>
        <w:t xml:space="preserve"> </w:t>
      </w:r>
      <w:proofErr w:type="spellStart"/>
      <w:r>
        <w:rPr>
          <w:lang w:val="en-US"/>
        </w:rPr>
        <w:t>basiert</w:t>
      </w:r>
      <w:proofErr w:type="spellEnd"/>
      <w:r>
        <w:rPr>
          <w:lang w:val="en-US"/>
        </w:rPr>
        <w:t xml:space="preserve"> auf </w:t>
      </w:r>
      <w:proofErr w:type="spellStart"/>
      <w:r>
        <w:rPr>
          <w:lang w:val="en-US"/>
        </w:rPr>
        <w:t>einem</w:t>
      </w:r>
      <w:proofErr w:type="spellEnd"/>
      <w:r>
        <w:rPr>
          <w:lang w:val="en-US"/>
        </w:rPr>
        <w:t xml:space="preserve"> </w:t>
      </w:r>
      <w:proofErr w:type="spellStart"/>
      <w:r>
        <w:rPr>
          <w:lang w:val="en-US"/>
        </w:rPr>
        <w:t>Investitionsplan</w:t>
      </w:r>
      <w:proofErr w:type="spellEnd"/>
      <w:r>
        <w:rPr>
          <w:lang w:val="en-US"/>
        </w:rPr>
        <w:t xml:space="preserve"> von 15 </w:t>
      </w:r>
      <w:proofErr w:type="spellStart"/>
      <w:r>
        <w:rPr>
          <w:lang w:val="en-US"/>
        </w:rPr>
        <w:t>Millionen</w:t>
      </w:r>
      <w:proofErr w:type="spellEnd"/>
      <w:r>
        <w:rPr>
          <w:lang w:val="en-US"/>
        </w:rPr>
        <w:t xml:space="preserve"> </w:t>
      </w:r>
      <w:r w:rsidR="003841FD" w:rsidRPr="003841FD">
        <w:rPr>
          <w:lang w:val="en-US"/>
        </w:rPr>
        <w:t>US$</w:t>
      </w:r>
      <w:r>
        <w:rPr>
          <w:lang w:val="en-US"/>
        </w:rPr>
        <w:t xml:space="preserve">. </w:t>
      </w:r>
      <w:r w:rsidRPr="00527769">
        <w:t>Davon wurden 6 Millionen</w:t>
      </w:r>
      <w:r w:rsidR="003841FD" w:rsidRPr="00527769">
        <w:t xml:space="preserve"> US$ </w:t>
      </w:r>
      <w:r w:rsidRPr="00527769">
        <w:t>in die WEINMANN Fertigungslinien investiert. WEINMANN ist Teil der HOMAG Group und weltweit führend bei Fertigungsanlagen für den vorgefertigten Holzbau.</w:t>
      </w:r>
      <w:r w:rsidR="003841FD" w:rsidRPr="00527769">
        <w:t xml:space="preserve"> </w:t>
      </w:r>
    </w:p>
    <w:p w14:paraId="29DD8C7A" w14:textId="52802EDB" w:rsidR="003841FD" w:rsidRPr="008B41AB" w:rsidRDefault="00527769" w:rsidP="003841FD">
      <w:pPr>
        <w:ind w:right="-1134"/>
      </w:pPr>
      <w:r w:rsidRPr="00527769">
        <w:t>M</w:t>
      </w:r>
      <w:r w:rsidR="008B41AB">
        <w:t>it nur sechs</w:t>
      </w:r>
      <w:r w:rsidRPr="00527769">
        <w:t xml:space="preserve"> Monaten Betriebszeit feiert das Unternehmen den Bau von 400 zweistöckigen Häusern in </w:t>
      </w:r>
      <w:r w:rsidR="003841FD" w:rsidRPr="00527769">
        <w:t xml:space="preserve">Casablanca </w:t>
      </w:r>
      <w:r w:rsidRPr="00527769">
        <w:t xml:space="preserve">und den Bau von zwei vierstöckigen Gebäuden in </w:t>
      </w:r>
      <w:r w:rsidR="003841FD" w:rsidRPr="00527769">
        <w:t>Concepción, Chile.</w:t>
      </w:r>
      <w:r w:rsidR="00BE5F42">
        <w:t xml:space="preserve"> </w:t>
      </w:r>
      <w:r w:rsidRPr="00BE5F42">
        <w:t>Laut Felipe Montes, General Manager</w:t>
      </w:r>
      <w:r w:rsidR="003841FD" w:rsidRPr="00BE5F42">
        <w:t xml:space="preserve"> E2E, </w:t>
      </w:r>
      <w:r w:rsidRPr="00BE5F42">
        <w:t xml:space="preserve">werden pro Woche 16 Häuser hergestellt. </w:t>
      </w:r>
      <w:r w:rsidRPr="00527769">
        <w:t xml:space="preserve">In Kürze startet die Montage von vierstöckigen Gebäuden mit 16 </w:t>
      </w:r>
      <w:r w:rsidR="00BE5F42" w:rsidRPr="00527769">
        <w:t>Appartements</w:t>
      </w:r>
      <w:r w:rsidRPr="00527769">
        <w:t>, die jeweils eine Fläche von 50 m² haben.</w:t>
      </w:r>
      <w:r w:rsidR="008B41AB">
        <w:t xml:space="preserve"> </w:t>
      </w:r>
      <w:r w:rsidR="00BE5F42" w:rsidRPr="00BE5F42">
        <w:t>Der Gesch</w:t>
      </w:r>
      <w:r w:rsidR="008B41AB">
        <w:t>äftsführer bemerkt, dass mit der neuen Produktionstechnologie die Lieferzeit</w:t>
      </w:r>
      <w:r w:rsidR="00BE5F42" w:rsidRPr="00BE5F42">
        <w:t xml:space="preserve"> von zwölf auf acht Mon</w:t>
      </w:r>
      <w:r w:rsidR="00BE5F42">
        <w:t>a</w:t>
      </w:r>
      <w:r w:rsidR="00BE5F42" w:rsidRPr="00BE5F42">
        <w:t>t</w:t>
      </w:r>
      <w:r w:rsidR="00BE5F42">
        <w:t>e</w:t>
      </w:r>
      <w:r w:rsidR="00BE5F42" w:rsidRPr="00BE5F42">
        <w:t xml:space="preserve"> reduziert wurde. Neben der Zeitersparnis und Produktivitätssteigerung wurden</w:t>
      </w:r>
      <w:r w:rsidR="008B41AB">
        <w:t xml:space="preserve"> zudem</w:t>
      </w:r>
      <w:r w:rsidR="00BE5F42" w:rsidRPr="00BE5F42">
        <w:t xml:space="preserve"> </w:t>
      </w:r>
      <w:r w:rsidR="00BE5F42">
        <w:t xml:space="preserve">die Abfälle deutlich reduziert, da der Großteil der Arbeiten im Werk ausgeführt wird. </w:t>
      </w:r>
    </w:p>
    <w:p w14:paraId="2CECD53C" w14:textId="02727141" w:rsidR="003841FD" w:rsidRDefault="00BE5F42" w:rsidP="003841FD">
      <w:pPr>
        <w:ind w:right="-1134"/>
      </w:pPr>
      <w:r w:rsidRPr="00BE5F42">
        <w:t>Aufgrund der hohen Nachfrage nach Wohnraum in Chile, die möglichst kurzfristig bedient werden muss, gibt Montes bekannt, dass eine Erweiterung der Produktion und die Investition in eine zwei</w:t>
      </w:r>
      <w:r>
        <w:t xml:space="preserve">te Fertigungslinie </w:t>
      </w:r>
      <w:r w:rsidR="008B41AB">
        <w:t>angedacht sind</w:t>
      </w:r>
      <w:r>
        <w:t xml:space="preserve">. </w:t>
      </w:r>
      <w:r w:rsidR="008B41AB">
        <w:t xml:space="preserve">Dies soll allerdings noch </w:t>
      </w:r>
      <w:r w:rsidRPr="00BE5F42">
        <w:t>nicht kurzfristig umgesetzt</w:t>
      </w:r>
      <w:r w:rsidR="008B41AB">
        <w:t xml:space="preserve"> werden</w:t>
      </w:r>
      <w:r w:rsidRPr="00BE5F42">
        <w:t>.</w:t>
      </w:r>
      <w:r>
        <w:t xml:space="preserve"> </w:t>
      </w:r>
      <w:r w:rsidRPr="00BE5F42">
        <w:t xml:space="preserve">Zudem ist E2E interessiert an der Realisierung eines Projekts von </w:t>
      </w:r>
      <w:proofErr w:type="spellStart"/>
      <w:r w:rsidRPr="00BE5F42">
        <w:t>Serviu</w:t>
      </w:r>
      <w:proofErr w:type="spellEnd"/>
      <w:r w:rsidRPr="00BE5F42">
        <w:t xml:space="preserve"> (</w:t>
      </w:r>
      <w:proofErr w:type="spellStart"/>
      <w:r w:rsidRPr="00BE5F42">
        <w:t>Housing</w:t>
      </w:r>
      <w:proofErr w:type="spellEnd"/>
      <w:r w:rsidRPr="00BE5F42">
        <w:t xml:space="preserve"> </w:t>
      </w:r>
      <w:proofErr w:type="spellStart"/>
      <w:r w:rsidRPr="00BE5F42">
        <w:t>and</w:t>
      </w:r>
      <w:proofErr w:type="spellEnd"/>
      <w:r w:rsidRPr="00BE5F42">
        <w:t xml:space="preserve"> </w:t>
      </w:r>
      <w:proofErr w:type="spellStart"/>
      <w:r w:rsidRPr="00BE5F42">
        <w:t>Urbanization</w:t>
      </w:r>
      <w:proofErr w:type="spellEnd"/>
      <w:r w:rsidRPr="00BE5F42">
        <w:t xml:space="preserve"> Service) der Region </w:t>
      </w:r>
      <w:r>
        <w:t xml:space="preserve">O'Higgins. </w:t>
      </w:r>
      <w:r w:rsidRPr="00BE5F42">
        <w:t xml:space="preserve">Dabei handelt es sich um das erste 6-stöckige Holzgebäude. </w:t>
      </w:r>
      <w:r>
        <w:t>„</w:t>
      </w:r>
      <w:r w:rsidRPr="00BE5F42">
        <w:t>Dies wäre das höchste Holzgebäude</w:t>
      </w:r>
      <w:r w:rsidR="003841FD" w:rsidRPr="00BE5F42">
        <w:t xml:space="preserve">”, </w:t>
      </w:r>
      <w:r w:rsidRPr="00BE5F42">
        <w:t>sagt Montes</w:t>
      </w:r>
      <w:r>
        <w:t>.</w:t>
      </w:r>
    </w:p>
    <w:p w14:paraId="692FA777" w14:textId="779B656F" w:rsidR="003841FD" w:rsidRDefault="00BE5F42" w:rsidP="003841FD">
      <w:pPr>
        <w:ind w:right="-1134"/>
      </w:pPr>
      <w:r>
        <w:t>Obwohl sich die Expansionspläne vorrangig auf Chile konzentrieren, berichtet Montes, dass zukünftig auch weitere Märkte der Region verstärkt betrachtet werden sollen. „</w:t>
      </w:r>
      <w:r w:rsidR="00BD2392">
        <w:t xml:space="preserve">E2E gründet auf zwei globalen Unternehmen. Und so haben wir auch eine globale und lateinamerikanische Vision. Alle Länder haben einen hohen Bedarf an nachhaltigem und industriell gefertigten Wohnraum. Die Nachhaltigkeit des Rohstoffs Holz macht ihn im Bauwesen zum Werkstoff der Zukunft.“ </w:t>
      </w:r>
      <w:r w:rsidR="00BD2392" w:rsidRPr="00BD2392">
        <w:t xml:space="preserve">Montes </w:t>
      </w:r>
      <w:r w:rsidR="00BD2392" w:rsidRPr="00BD2392">
        <w:lastRenderedPageBreak/>
        <w:t xml:space="preserve">weist darauf hin, dass der Holzbaumarkt in Chile </w:t>
      </w:r>
      <w:r w:rsidR="008B41AB">
        <w:t xml:space="preserve">momentan </w:t>
      </w:r>
      <w:r w:rsidR="00BD2392" w:rsidRPr="00BD2392">
        <w:t xml:space="preserve">noch </w:t>
      </w:r>
      <w:r w:rsidR="008B41AB">
        <w:t xml:space="preserve">sehr </w:t>
      </w:r>
      <w:r w:rsidR="00BD2392" w:rsidRPr="00BD2392">
        <w:t xml:space="preserve">klein ist. </w:t>
      </w:r>
      <w:r w:rsidR="00BD2392">
        <w:t>In Chile deckt er nur 15% ab. Eine Zahl die bis 2020 verdoppelt werden soll. In anderen Nachbarländern ist der Prozentsatz sogar noch geringer. „Der Holzbau in Chile ist ein Markt der Zukunft. Auch wenn er im Moment noch gering ist, wird zukünftig die Holzbauweise die Lösung sein.“</w:t>
      </w:r>
    </w:p>
    <w:p w14:paraId="0FA83894" w14:textId="50B5B937" w:rsidR="003841FD" w:rsidRPr="00772FC0" w:rsidRDefault="00BD2392" w:rsidP="003841FD">
      <w:pPr>
        <w:ind w:right="-1134"/>
      </w:pPr>
      <w:r>
        <w:t xml:space="preserve">Um dieses ehrgeizige Projekt zu realisieren, konnte sich E2E auf ein </w:t>
      </w:r>
      <w:r w:rsidR="008B41AB">
        <w:t>Spezialisten-Team</w:t>
      </w:r>
      <w:r>
        <w:t xml:space="preserve"> der HOMAG Group verlassen. Dazu zählen Jorge Panjkovich – Geschäftsführer Limaq, und seit fast 20 Jahren </w:t>
      </w:r>
      <w:proofErr w:type="spellStart"/>
      <w:proofErr w:type="gramStart"/>
      <w:r>
        <w:t>Sales</w:t>
      </w:r>
      <w:proofErr w:type="spellEnd"/>
      <w:r>
        <w:t xml:space="preserve"> </w:t>
      </w:r>
      <w:proofErr w:type="spellStart"/>
      <w:r>
        <w:t>manager</w:t>
      </w:r>
      <w:proofErr w:type="spellEnd"/>
      <w:proofErr w:type="gramEnd"/>
      <w:r>
        <w:t xml:space="preserve"> bei HOMAG mit starker Präsenz in Chile und Argentinien, Eduardo Bezares – General </w:t>
      </w:r>
      <w:proofErr w:type="spellStart"/>
      <w:r>
        <w:t>Sales</w:t>
      </w:r>
      <w:proofErr w:type="spellEnd"/>
      <w:r>
        <w:t xml:space="preserve"> Manager HOMAG fü</w:t>
      </w:r>
      <w:r w:rsidR="008B41AB">
        <w:t xml:space="preserve">r Lateinamerika sowie </w:t>
      </w:r>
      <w:proofErr w:type="spellStart"/>
      <w:r>
        <w:t>Hansbert</w:t>
      </w:r>
      <w:proofErr w:type="spellEnd"/>
      <w:r>
        <w:t xml:space="preserve"> Ott</w:t>
      </w:r>
      <w:r w:rsidR="008B41AB">
        <w:t>, Geschäftsführer</w:t>
      </w:r>
      <w:r>
        <w:t xml:space="preserve"> von WEINMANN. Gemeinsam mit E2E wurde eine </w:t>
      </w:r>
      <w:r w:rsidR="008B41AB">
        <w:t>durchgängige</w:t>
      </w:r>
      <w:r w:rsidR="00772FC0">
        <w:t xml:space="preserve"> Lösung entwickelt, </w:t>
      </w:r>
      <w:r w:rsidR="008B41AB">
        <w:t>welche</w:t>
      </w:r>
      <w:r w:rsidR="00772FC0">
        <w:t xml:space="preserve"> die</w:t>
      </w:r>
      <w:r>
        <w:t xml:space="preserve"> Anforderungen</w:t>
      </w:r>
      <w:r w:rsidR="008B41AB">
        <w:t xml:space="preserve"> und Ansprüche</w:t>
      </w:r>
      <w:r w:rsidR="00772FC0">
        <w:t xml:space="preserve"> voll erfüllt. </w:t>
      </w:r>
      <w:r>
        <w:t xml:space="preserve"> </w:t>
      </w:r>
    </w:p>
    <w:p w14:paraId="438F3EDC" w14:textId="2A4FF0CC" w:rsidR="003841FD" w:rsidRPr="008F59E5" w:rsidRDefault="003329DE" w:rsidP="003841FD">
      <w:pPr>
        <w:pStyle w:val="Kasten-trkis"/>
      </w:pPr>
      <w:r>
        <w:rPr>
          <w:i/>
        </w:rPr>
        <w:t xml:space="preserve">„Unsere Kunden vertrauen auf unsere langjährige Erfahrung und die persönliche Betreuung, die uns auszeichnet. </w:t>
      </w:r>
      <w:r w:rsidRPr="008F59E5">
        <w:rPr>
          <w:i/>
        </w:rPr>
        <w:t>Das Bestreben unserer Kunden, die bestmögliche Aufmerksamkeit</w:t>
      </w:r>
      <w:r w:rsidR="008F59E5" w:rsidRPr="008F59E5">
        <w:rPr>
          <w:i/>
        </w:rPr>
        <w:t xml:space="preserve"> zukommen zu lassen, hat Limaq zu einem Schlüsselunternehmen gemacht, für alle die sich für die Holzverarbeitung interessieren.</w:t>
      </w:r>
      <w:r w:rsidR="003841FD" w:rsidRPr="008F59E5">
        <w:rPr>
          <w:i/>
        </w:rPr>
        <w:t>”</w:t>
      </w:r>
      <w:r w:rsidR="003841FD" w:rsidRPr="008F59E5">
        <w:t xml:space="preserve"> </w:t>
      </w:r>
      <w:r w:rsidR="003841FD" w:rsidRPr="008F59E5">
        <w:br/>
      </w:r>
      <w:r w:rsidRPr="008F59E5">
        <w:t>Jorge Panjkovich</w:t>
      </w:r>
      <w:r w:rsidR="003841FD" w:rsidRPr="008F59E5">
        <w:t xml:space="preserve"> (</w:t>
      </w:r>
      <w:r w:rsidRPr="008F59E5">
        <w:t>Geschäftsführer</w:t>
      </w:r>
      <w:r w:rsidR="003841FD" w:rsidRPr="008F59E5">
        <w:t xml:space="preserve"> Limaq)</w:t>
      </w:r>
    </w:p>
    <w:p w14:paraId="5463A7F4" w14:textId="77777777" w:rsidR="003841FD" w:rsidRPr="008F59E5" w:rsidRDefault="003841FD" w:rsidP="003841FD">
      <w:pPr>
        <w:ind w:right="-1134"/>
      </w:pPr>
    </w:p>
    <w:p w14:paraId="7FAD6E3D" w14:textId="6DB0E84D" w:rsidR="003841FD" w:rsidRPr="003841FD" w:rsidRDefault="008F59E5" w:rsidP="003841FD">
      <w:pPr>
        <w:pStyle w:val="Kasten-trkis"/>
        <w:rPr>
          <w:i/>
          <w:lang w:val="en-US"/>
        </w:rPr>
      </w:pPr>
      <w:r>
        <w:rPr>
          <w:i/>
        </w:rPr>
        <w:t xml:space="preserve">„Wir glauben an den Holzbau, wir glauben an das Material und die industrielle Vorfertigung. </w:t>
      </w:r>
      <w:r w:rsidRPr="008F59E5">
        <w:rPr>
          <w:i/>
        </w:rPr>
        <w:t>Dieses Projekt mit E2E zeigt, dass es möglich ist, gemeinsam Exzellenz und Nachhaltigkeit zu erreichen.</w:t>
      </w:r>
      <w:r>
        <w:rPr>
          <w:i/>
        </w:rPr>
        <w:t>“</w:t>
      </w:r>
    </w:p>
    <w:p w14:paraId="0E2F30FB" w14:textId="61960F22" w:rsidR="003841FD" w:rsidRPr="008F59E5" w:rsidRDefault="003841FD" w:rsidP="003841FD">
      <w:pPr>
        <w:pStyle w:val="Kasten-trkis"/>
      </w:pPr>
      <w:r w:rsidRPr="008F59E5">
        <w:t>Eduardo Bezares (</w:t>
      </w:r>
      <w:proofErr w:type="spellStart"/>
      <w:r w:rsidRPr="008F59E5">
        <w:t>Sales</w:t>
      </w:r>
      <w:proofErr w:type="spellEnd"/>
      <w:r w:rsidRPr="008F59E5">
        <w:t xml:space="preserve"> Manager</w:t>
      </w:r>
      <w:r w:rsidR="008F59E5" w:rsidRPr="008F59E5">
        <w:t xml:space="preserve"> für Lateinamerika</w:t>
      </w:r>
      <w:r w:rsidRPr="008F59E5">
        <w:t xml:space="preserve">, </w:t>
      </w:r>
      <w:proofErr w:type="spellStart"/>
      <w:r w:rsidRPr="008F59E5">
        <w:t>Homag</w:t>
      </w:r>
      <w:proofErr w:type="spellEnd"/>
      <w:r w:rsidRPr="008F59E5">
        <w:t xml:space="preserve"> São Paulo)</w:t>
      </w:r>
    </w:p>
    <w:p w14:paraId="0C68963F" w14:textId="77777777" w:rsidR="003841FD" w:rsidRPr="008F59E5" w:rsidRDefault="003841FD" w:rsidP="003841FD">
      <w:pPr>
        <w:ind w:right="-1134"/>
      </w:pPr>
    </w:p>
    <w:p w14:paraId="65C4E865" w14:textId="3C01A83B" w:rsidR="003841FD" w:rsidRPr="003841FD" w:rsidRDefault="008F59E5" w:rsidP="003841FD">
      <w:pPr>
        <w:pStyle w:val="Kasten-trkis"/>
        <w:rPr>
          <w:i/>
          <w:lang w:val="en-US"/>
        </w:rPr>
      </w:pPr>
      <w:r>
        <w:rPr>
          <w:i/>
        </w:rPr>
        <w:t xml:space="preserve">„Die Technologie für die Vorfertigung von Einfamilienhäusern und mehrstöckigen Gebäuden ist eine Revolution für die Bauindustrie in Chile. </w:t>
      </w:r>
      <w:r w:rsidRPr="008F59E5">
        <w:rPr>
          <w:i/>
        </w:rPr>
        <w:t>Sie bietet eine hohe Flexibilität und Qualität sowie eine durchgängige Produktion.</w:t>
      </w:r>
      <w:r>
        <w:rPr>
          <w:i/>
        </w:rPr>
        <w:t xml:space="preserve"> </w:t>
      </w:r>
      <w:r w:rsidRPr="008F59E5">
        <w:rPr>
          <w:i/>
        </w:rPr>
        <w:t>Die industrielle Vorfertigung ermöglicht das hocheffiziente Herstellen von Gebäuden in Holzbauweise.</w:t>
      </w:r>
      <w:r>
        <w:rPr>
          <w:i/>
        </w:rPr>
        <w:t xml:space="preserve"> Dies wird die Antwort auf die enorme Nachfrage nach bezahlbarem Wohnraum auf der ganzen Welt sein.“</w:t>
      </w:r>
    </w:p>
    <w:p w14:paraId="1C547DC8" w14:textId="73FCBF11" w:rsidR="003841FD" w:rsidRPr="008F59E5" w:rsidRDefault="003841FD" w:rsidP="003841FD">
      <w:pPr>
        <w:pStyle w:val="Kasten-trkis"/>
      </w:pPr>
      <w:proofErr w:type="spellStart"/>
      <w:r w:rsidRPr="008F59E5">
        <w:t>Hansbert</w:t>
      </w:r>
      <w:proofErr w:type="spellEnd"/>
      <w:r w:rsidRPr="008F59E5">
        <w:t xml:space="preserve"> Ott</w:t>
      </w:r>
      <w:r w:rsidRPr="008F59E5">
        <w:t xml:space="preserve"> (</w:t>
      </w:r>
      <w:r w:rsidR="008F59E5" w:rsidRPr="008F59E5">
        <w:t>Geschäftsführer</w:t>
      </w:r>
      <w:r w:rsidRPr="008F59E5">
        <w:t xml:space="preserve"> WEINMANN</w:t>
      </w:r>
      <w:r w:rsidRPr="008F59E5">
        <w:t>)</w:t>
      </w:r>
    </w:p>
    <w:p w14:paraId="7E4FC12E" w14:textId="0494D73F" w:rsidR="00F2656D" w:rsidRPr="008F59E5" w:rsidRDefault="00D65A21" w:rsidP="003841FD">
      <w:pPr>
        <w:pStyle w:val="KeinLeerraum"/>
        <w:ind w:right="-1134"/>
      </w:pPr>
      <w:r w:rsidRPr="008F59E5">
        <w:rPr>
          <w:rFonts w:cs="Arial"/>
          <w:sz w:val="24"/>
          <w:szCs w:val="24"/>
        </w:rPr>
        <w:br w:type="page"/>
      </w:r>
      <w:r w:rsidR="008F59E5" w:rsidRPr="008F59E5">
        <w:lastRenderedPageBreak/>
        <w:t>Bilder</w:t>
      </w:r>
    </w:p>
    <w:p w14:paraId="7E4FC12F" w14:textId="2E85D606" w:rsidR="00F2656D" w:rsidRPr="008F59E5" w:rsidRDefault="008F59E5" w:rsidP="003841FD">
      <w:pPr>
        <w:pStyle w:val="KeinLeerraum"/>
        <w:ind w:right="-1134"/>
        <w:rPr>
          <w:b w:val="0"/>
        </w:rPr>
      </w:pPr>
      <w:r w:rsidRPr="008F59E5">
        <w:rPr>
          <w:b w:val="0"/>
        </w:rPr>
        <w:t>Bildquelle</w:t>
      </w:r>
      <w:r w:rsidR="00F2656D" w:rsidRPr="008F59E5">
        <w:rPr>
          <w:b w:val="0"/>
        </w:rPr>
        <w:t xml:space="preserve">: </w:t>
      </w:r>
      <w:r w:rsidR="003841FD" w:rsidRPr="008F59E5">
        <w:rPr>
          <w:b w:val="0"/>
        </w:rPr>
        <w:t>E2E</w:t>
      </w:r>
    </w:p>
    <w:p w14:paraId="7E4FC130" w14:textId="77777777" w:rsidR="00F2656D" w:rsidRPr="008F59E5" w:rsidRDefault="00F2656D" w:rsidP="003841FD">
      <w:pPr>
        <w:pStyle w:val="KeinLeerraum"/>
        <w:ind w:right="-1134"/>
        <w:rPr>
          <w:b w:val="0"/>
        </w:rPr>
      </w:pPr>
    </w:p>
    <w:p w14:paraId="7E4FC131" w14:textId="77777777" w:rsidR="008547A0" w:rsidRPr="008F59E5" w:rsidRDefault="008547A0" w:rsidP="003841FD">
      <w:pPr>
        <w:pStyle w:val="KeinLeerraum"/>
        <w:ind w:right="-1134"/>
        <w:rPr>
          <w:b w:val="0"/>
        </w:rPr>
      </w:pPr>
    </w:p>
    <w:p w14:paraId="7E4FC132" w14:textId="77777777" w:rsidR="008547A0" w:rsidRPr="008F59E5" w:rsidRDefault="008547A0" w:rsidP="003841FD">
      <w:pPr>
        <w:pStyle w:val="KeinLeerraum"/>
        <w:ind w:right="-1134"/>
        <w:rPr>
          <w:b w:val="0"/>
        </w:rPr>
      </w:pPr>
    </w:p>
    <w:p w14:paraId="7E4FC133" w14:textId="77777777" w:rsidR="008547A0" w:rsidRPr="008F59E5" w:rsidRDefault="008547A0" w:rsidP="003841FD">
      <w:pPr>
        <w:pStyle w:val="KeinLeerraum"/>
        <w:ind w:right="-1134"/>
        <w:rPr>
          <w:b w:val="0"/>
        </w:rPr>
      </w:pPr>
    </w:p>
    <w:p w14:paraId="7E4FC134" w14:textId="77777777" w:rsidR="008547A0" w:rsidRPr="008F59E5" w:rsidRDefault="008547A0" w:rsidP="003841FD">
      <w:pPr>
        <w:pStyle w:val="KeinLeerraum"/>
        <w:ind w:right="-1134"/>
        <w:rPr>
          <w:b w:val="0"/>
        </w:rPr>
      </w:pPr>
    </w:p>
    <w:p w14:paraId="7E4FC135" w14:textId="14BE9D12" w:rsidR="00F2656D" w:rsidRPr="005E0924" w:rsidRDefault="003841FD" w:rsidP="003841FD">
      <w:pPr>
        <w:pStyle w:val="KeinLeerraum"/>
        <w:ind w:right="-1134"/>
        <w:rPr>
          <w:b w:val="0"/>
          <w:lang w:val="en-US"/>
        </w:rPr>
      </w:pPr>
      <w:r>
        <w:rPr>
          <w:noProof/>
        </w:rPr>
        <w:drawing>
          <wp:inline distT="0" distB="0" distL="0" distR="0" wp14:anchorId="6F9C7F92" wp14:editId="393814B5">
            <wp:extent cx="2520000" cy="1492222"/>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 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492222"/>
                    </a:xfrm>
                    <a:prstGeom prst="rect">
                      <a:avLst/>
                    </a:prstGeom>
                  </pic:spPr>
                </pic:pic>
              </a:graphicData>
            </a:graphic>
          </wp:inline>
        </w:drawing>
      </w:r>
    </w:p>
    <w:p w14:paraId="7E4FC136" w14:textId="0834A2D8" w:rsidR="00B57FAC" w:rsidRPr="008F59E5" w:rsidRDefault="008F59E5" w:rsidP="003841FD">
      <w:pPr>
        <w:pStyle w:val="Titel"/>
        <w:ind w:right="-1134"/>
      </w:pPr>
      <w:r w:rsidRPr="008F59E5">
        <w:t>Bild</w:t>
      </w:r>
      <w:r w:rsidR="00B57FAC" w:rsidRPr="008F59E5">
        <w:t xml:space="preserve"> 1:</w:t>
      </w:r>
    </w:p>
    <w:p w14:paraId="7E4FC137" w14:textId="1A42A7F0" w:rsidR="00B57FAC" w:rsidRPr="008F59E5" w:rsidRDefault="008F59E5" w:rsidP="003841FD">
      <w:pPr>
        <w:pStyle w:val="Titel"/>
        <w:ind w:right="-1134"/>
        <w:rPr>
          <w:b w:val="0"/>
          <w:szCs w:val="22"/>
        </w:rPr>
      </w:pPr>
      <w:r w:rsidRPr="008F59E5">
        <w:rPr>
          <w:b w:val="0"/>
          <w:szCs w:val="22"/>
        </w:rPr>
        <w:t>Von links nach rechts</w:t>
      </w:r>
      <w:r w:rsidR="003841FD" w:rsidRPr="008F59E5">
        <w:rPr>
          <w:b w:val="0"/>
          <w:szCs w:val="22"/>
        </w:rPr>
        <w:t xml:space="preserve">: Per-Olof </w:t>
      </w:r>
      <w:proofErr w:type="spellStart"/>
      <w:r w:rsidR="003841FD" w:rsidRPr="008F59E5">
        <w:rPr>
          <w:b w:val="0"/>
          <w:szCs w:val="22"/>
        </w:rPr>
        <w:t>Algotsson</w:t>
      </w:r>
      <w:proofErr w:type="spellEnd"/>
      <w:r w:rsidR="003841FD" w:rsidRPr="008F59E5">
        <w:rPr>
          <w:b w:val="0"/>
          <w:szCs w:val="22"/>
        </w:rPr>
        <w:t xml:space="preserve"> (</w:t>
      </w:r>
      <w:proofErr w:type="spellStart"/>
      <w:r w:rsidR="003841FD" w:rsidRPr="008F59E5">
        <w:rPr>
          <w:b w:val="0"/>
          <w:szCs w:val="22"/>
        </w:rPr>
        <w:t>Etex</w:t>
      </w:r>
      <w:proofErr w:type="spellEnd"/>
      <w:r w:rsidR="003841FD" w:rsidRPr="008F59E5">
        <w:rPr>
          <w:b w:val="0"/>
          <w:szCs w:val="22"/>
        </w:rPr>
        <w:t xml:space="preserve">), Matías </w:t>
      </w:r>
      <w:proofErr w:type="spellStart"/>
      <w:r w:rsidR="003841FD" w:rsidRPr="008F59E5">
        <w:rPr>
          <w:b w:val="0"/>
          <w:szCs w:val="22"/>
        </w:rPr>
        <w:t>Domeyco</w:t>
      </w:r>
      <w:proofErr w:type="spellEnd"/>
      <w:r w:rsidR="003841FD" w:rsidRPr="008F59E5">
        <w:rPr>
          <w:b w:val="0"/>
          <w:szCs w:val="22"/>
        </w:rPr>
        <w:t xml:space="preserve"> (</w:t>
      </w:r>
      <w:proofErr w:type="spellStart"/>
      <w:r w:rsidR="003841FD" w:rsidRPr="008F59E5">
        <w:rPr>
          <w:b w:val="0"/>
          <w:szCs w:val="22"/>
        </w:rPr>
        <w:t>Arauco</w:t>
      </w:r>
      <w:proofErr w:type="spellEnd"/>
      <w:r w:rsidR="003841FD" w:rsidRPr="008F59E5">
        <w:rPr>
          <w:b w:val="0"/>
          <w:szCs w:val="22"/>
        </w:rPr>
        <w:t xml:space="preserve">), </w:t>
      </w:r>
      <w:proofErr w:type="spellStart"/>
      <w:r w:rsidR="003841FD" w:rsidRPr="008F59E5">
        <w:rPr>
          <w:b w:val="0"/>
          <w:szCs w:val="22"/>
        </w:rPr>
        <w:t>Hansbert</w:t>
      </w:r>
      <w:proofErr w:type="spellEnd"/>
      <w:r w:rsidR="003841FD" w:rsidRPr="008F59E5">
        <w:rPr>
          <w:b w:val="0"/>
          <w:szCs w:val="22"/>
        </w:rPr>
        <w:t xml:space="preserve"> Ott (Weinmann), Cristián Montes (E2E) Charles Kimber (</w:t>
      </w:r>
      <w:proofErr w:type="spellStart"/>
      <w:r w:rsidR="003841FD" w:rsidRPr="008F59E5">
        <w:rPr>
          <w:b w:val="0"/>
          <w:szCs w:val="22"/>
        </w:rPr>
        <w:t>Arauco</w:t>
      </w:r>
      <w:proofErr w:type="spellEnd"/>
      <w:r w:rsidR="003841FD" w:rsidRPr="008F59E5">
        <w:rPr>
          <w:b w:val="0"/>
          <w:szCs w:val="22"/>
        </w:rPr>
        <w:t>).</w:t>
      </w:r>
    </w:p>
    <w:p w14:paraId="6263926B" w14:textId="77777777" w:rsidR="003841FD" w:rsidRPr="008F59E5" w:rsidRDefault="003841FD" w:rsidP="003841FD">
      <w:pPr>
        <w:ind w:right="-1134"/>
      </w:pPr>
    </w:p>
    <w:p w14:paraId="5401780D" w14:textId="171458E0" w:rsidR="003841FD" w:rsidRPr="008F59E5" w:rsidRDefault="003841FD" w:rsidP="003841FD">
      <w:pPr>
        <w:pStyle w:val="Titel"/>
        <w:ind w:right="-1134"/>
      </w:pPr>
      <w:r>
        <w:rPr>
          <w:noProof/>
        </w:rPr>
        <w:drawing>
          <wp:inline distT="0" distB="0" distL="0" distR="0" wp14:anchorId="25F7D1EE" wp14:editId="248EFC6B">
            <wp:extent cx="2520000" cy="1551389"/>
            <wp:effectExtent l="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 0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000" cy="1551389"/>
                    </a:xfrm>
                    <a:prstGeom prst="rect">
                      <a:avLst/>
                    </a:prstGeom>
                  </pic:spPr>
                </pic:pic>
              </a:graphicData>
            </a:graphic>
          </wp:inline>
        </w:drawing>
      </w:r>
      <w:r w:rsidRPr="008F59E5">
        <w:br/>
      </w:r>
      <w:r w:rsidR="008F59E5" w:rsidRPr="008F59E5">
        <w:t>Bild</w:t>
      </w:r>
      <w:r w:rsidRPr="008F59E5">
        <w:t xml:space="preserve"> 2</w:t>
      </w:r>
      <w:r w:rsidRPr="008F59E5">
        <w:t>:</w:t>
      </w:r>
    </w:p>
    <w:p w14:paraId="57676742" w14:textId="6F51554A" w:rsidR="003841FD" w:rsidRPr="008F59E5" w:rsidRDefault="008F59E5" w:rsidP="003841FD">
      <w:pPr>
        <w:pStyle w:val="Titel"/>
        <w:ind w:right="-1134"/>
        <w:rPr>
          <w:b w:val="0"/>
          <w:szCs w:val="22"/>
        </w:rPr>
      </w:pPr>
      <w:r w:rsidRPr="008F59E5">
        <w:rPr>
          <w:b w:val="0"/>
          <w:szCs w:val="22"/>
        </w:rPr>
        <w:t>Von links nach rechts</w:t>
      </w:r>
      <w:r w:rsidR="003841FD" w:rsidRPr="008F59E5">
        <w:rPr>
          <w:b w:val="0"/>
          <w:szCs w:val="22"/>
        </w:rPr>
        <w:t xml:space="preserve">: </w:t>
      </w:r>
      <w:proofErr w:type="spellStart"/>
      <w:r w:rsidR="003841FD" w:rsidRPr="008F59E5">
        <w:rPr>
          <w:b w:val="0"/>
          <w:szCs w:val="22"/>
        </w:rPr>
        <w:t>Hansbert</w:t>
      </w:r>
      <w:proofErr w:type="spellEnd"/>
      <w:r w:rsidR="003841FD" w:rsidRPr="008F59E5">
        <w:rPr>
          <w:b w:val="0"/>
          <w:szCs w:val="22"/>
        </w:rPr>
        <w:t xml:space="preserve"> Ott</w:t>
      </w:r>
      <w:r w:rsidR="003841FD" w:rsidRPr="008F59E5">
        <w:rPr>
          <w:b w:val="0"/>
          <w:szCs w:val="22"/>
        </w:rPr>
        <w:t xml:space="preserve"> (</w:t>
      </w:r>
      <w:r>
        <w:rPr>
          <w:b w:val="0"/>
          <w:szCs w:val="22"/>
        </w:rPr>
        <w:t>Geschäftsführer</w:t>
      </w:r>
      <w:r w:rsidR="003841FD" w:rsidRPr="008F59E5">
        <w:rPr>
          <w:b w:val="0"/>
          <w:szCs w:val="22"/>
        </w:rPr>
        <w:t xml:space="preserve"> WEINMANN</w:t>
      </w:r>
      <w:r w:rsidR="003841FD" w:rsidRPr="008F59E5">
        <w:rPr>
          <w:b w:val="0"/>
          <w:szCs w:val="22"/>
        </w:rPr>
        <w:t xml:space="preserve">), </w:t>
      </w:r>
      <w:r w:rsidR="003841FD" w:rsidRPr="008F59E5">
        <w:rPr>
          <w:b w:val="0"/>
          <w:szCs w:val="22"/>
        </w:rPr>
        <w:t>Felipe Montes</w:t>
      </w:r>
      <w:r w:rsidR="003841FD" w:rsidRPr="008F59E5">
        <w:rPr>
          <w:b w:val="0"/>
          <w:szCs w:val="22"/>
        </w:rPr>
        <w:t xml:space="preserve"> (</w:t>
      </w:r>
      <w:proofErr w:type="gramStart"/>
      <w:r>
        <w:rPr>
          <w:b w:val="0"/>
          <w:szCs w:val="22"/>
        </w:rPr>
        <w:t>Geschäftsführer</w:t>
      </w:r>
      <w:r w:rsidRPr="008F59E5">
        <w:rPr>
          <w:b w:val="0"/>
          <w:szCs w:val="22"/>
        </w:rPr>
        <w:t xml:space="preserve"> </w:t>
      </w:r>
      <w:r w:rsidR="003841FD" w:rsidRPr="008F59E5">
        <w:rPr>
          <w:b w:val="0"/>
          <w:szCs w:val="22"/>
        </w:rPr>
        <w:t xml:space="preserve"> E</w:t>
      </w:r>
      <w:proofErr w:type="gramEnd"/>
      <w:r w:rsidR="003841FD" w:rsidRPr="008F59E5">
        <w:rPr>
          <w:b w:val="0"/>
          <w:szCs w:val="22"/>
        </w:rPr>
        <w:t>2E</w:t>
      </w:r>
      <w:r w:rsidR="003841FD" w:rsidRPr="008F59E5">
        <w:rPr>
          <w:b w:val="0"/>
          <w:szCs w:val="22"/>
        </w:rPr>
        <w:t xml:space="preserve">), </w:t>
      </w:r>
      <w:r w:rsidR="003841FD" w:rsidRPr="008F59E5">
        <w:rPr>
          <w:b w:val="0"/>
          <w:szCs w:val="22"/>
        </w:rPr>
        <w:t xml:space="preserve">Jorge Panjkovich </w:t>
      </w:r>
      <w:r w:rsidR="003841FD" w:rsidRPr="008F59E5">
        <w:rPr>
          <w:b w:val="0"/>
          <w:szCs w:val="22"/>
        </w:rPr>
        <w:t>(</w:t>
      </w:r>
      <w:r>
        <w:rPr>
          <w:b w:val="0"/>
          <w:szCs w:val="22"/>
        </w:rPr>
        <w:t>Geschäftsführer</w:t>
      </w:r>
      <w:r w:rsidRPr="008F59E5">
        <w:rPr>
          <w:b w:val="0"/>
          <w:szCs w:val="22"/>
        </w:rPr>
        <w:t xml:space="preserve"> </w:t>
      </w:r>
      <w:r w:rsidR="003841FD" w:rsidRPr="008F59E5">
        <w:rPr>
          <w:b w:val="0"/>
          <w:szCs w:val="22"/>
        </w:rPr>
        <w:t>Limaq</w:t>
      </w:r>
      <w:r w:rsidR="003841FD" w:rsidRPr="008F59E5">
        <w:rPr>
          <w:b w:val="0"/>
          <w:szCs w:val="22"/>
        </w:rPr>
        <w:t>)</w:t>
      </w:r>
    </w:p>
    <w:p w14:paraId="228DFEA1" w14:textId="6EC16FC8" w:rsidR="003841FD" w:rsidRPr="008F59E5" w:rsidRDefault="003841FD" w:rsidP="003841FD">
      <w:pPr>
        <w:ind w:right="-1134"/>
      </w:pPr>
    </w:p>
    <w:p w14:paraId="4834CCB5" w14:textId="4FEF66DF" w:rsidR="003841FD" w:rsidRPr="008F59E5" w:rsidRDefault="003841FD" w:rsidP="003841FD">
      <w:pPr>
        <w:pStyle w:val="Titel"/>
        <w:ind w:right="-1134"/>
      </w:pPr>
      <w:r>
        <w:rPr>
          <w:noProof/>
        </w:rPr>
        <w:drawing>
          <wp:inline distT="0" distB="0" distL="0" distR="0" wp14:anchorId="29574CCA" wp14:editId="53B2FF3C">
            <wp:extent cx="2520000" cy="1988333"/>
            <wp:effectExtent l="0" t="0" r="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 0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988333"/>
                    </a:xfrm>
                    <a:prstGeom prst="rect">
                      <a:avLst/>
                    </a:prstGeom>
                  </pic:spPr>
                </pic:pic>
              </a:graphicData>
            </a:graphic>
          </wp:inline>
        </w:drawing>
      </w:r>
      <w:r w:rsidRPr="008F59E5">
        <w:br/>
      </w:r>
      <w:r w:rsidR="008F59E5" w:rsidRPr="008F59E5">
        <w:t>Bild</w:t>
      </w:r>
      <w:r w:rsidRPr="008F59E5">
        <w:t xml:space="preserve"> 3</w:t>
      </w:r>
      <w:r w:rsidRPr="008F59E5">
        <w:t>:</w:t>
      </w:r>
    </w:p>
    <w:p w14:paraId="7E4FC14F" w14:textId="600685DE" w:rsidR="00481597" w:rsidRPr="008F59E5" w:rsidRDefault="003841FD" w:rsidP="003841FD">
      <w:pPr>
        <w:pStyle w:val="Titel"/>
        <w:ind w:right="-1134"/>
        <w:rPr>
          <w:b w:val="0"/>
          <w:szCs w:val="22"/>
        </w:rPr>
      </w:pPr>
      <w:proofErr w:type="spellStart"/>
      <w:r w:rsidRPr="008F59E5">
        <w:rPr>
          <w:b w:val="0"/>
          <w:szCs w:val="22"/>
        </w:rPr>
        <w:t>Hansbert</w:t>
      </w:r>
      <w:proofErr w:type="spellEnd"/>
      <w:r w:rsidRPr="008F59E5">
        <w:rPr>
          <w:b w:val="0"/>
          <w:szCs w:val="22"/>
        </w:rPr>
        <w:t xml:space="preserve"> Ott (</w:t>
      </w:r>
      <w:r w:rsidR="008F59E5">
        <w:rPr>
          <w:b w:val="0"/>
          <w:szCs w:val="22"/>
        </w:rPr>
        <w:t>Geschäftsführer</w:t>
      </w:r>
      <w:r w:rsidR="008F59E5" w:rsidRPr="008F59E5">
        <w:rPr>
          <w:b w:val="0"/>
          <w:szCs w:val="22"/>
        </w:rPr>
        <w:t xml:space="preserve"> </w:t>
      </w:r>
      <w:r w:rsidRPr="008F59E5">
        <w:rPr>
          <w:b w:val="0"/>
          <w:szCs w:val="22"/>
        </w:rPr>
        <w:t>WEINMANN)</w:t>
      </w:r>
      <w:r w:rsidR="008F59E5">
        <w:rPr>
          <w:b w:val="0"/>
          <w:szCs w:val="22"/>
        </w:rPr>
        <w:t xml:space="preserve"> u</w:t>
      </w:r>
      <w:r w:rsidRPr="008F59E5">
        <w:rPr>
          <w:b w:val="0"/>
          <w:szCs w:val="22"/>
        </w:rPr>
        <w:t>nd</w:t>
      </w:r>
      <w:r w:rsidRPr="008F59E5">
        <w:rPr>
          <w:b w:val="0"/>
          <w:szCs w:val="22"/>
        </w:rPr>
        <w:t xml:space="preserve"> Felipe Montes (</w:t>
      </w:r>
      <w:r w:rsidR="008F59E5">
        <w:rPr>
          <w:b w:val="0"/>
          <w:szCs w:val="22"/>
        </w:rPr>
        <w:t>Geschäftsführer</w:t>
      </w:r>
      <w:r w:rsidR="008F59E5" w:rsidRPr="008F59E5">
        <w:rPr>
          <w:b w:val="0"/>
          <w:szCs w:val="22"/>
        </w:rPr>
        <w:t xml:space="preserve"> </w:t>
      </w:r>
      <w:r w:rsidRPr="008F59E5">
        <w:rPr>
          <w:b w:val="0"/>
          <w:szCs w:val="22"/>
        </w:rPr>
        <w:t>E2E</w:t>
      </w:r>
      <w:r w:rsidRPr="008F59E5">
        <w:rPr>
          <w:b w:val="0"/>
          <w:szCs w:val="22"/>
        </w:rPr>
        <w:t>)</w:t>
      </w:r>
    </w:p>
    <w:sectPr w:rsidR="00481597" w:rsidRPr="008F59E5"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FC152" w14:textId="77777777" w:rsidR="004401F4" w:rsidRDefault="004401F4">
      <w:r>
        <w:separator/>
      </w:r>
    </w:p>
  </w:endnote>
  <w:endnote w:type="continuationSeparator" w:id="0">
    <w:p w14:paraId="7E4FC153"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FC15D"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FC150" w14:textId="77777777" w:rsidR="004401F4" w:rsidRDefault="004401F4">
      <w:r>
        <w:separator/>
      </w:r>
    </w:p>
  </w:footnote>
  <w:footnote w:type="continuationSeparator" w:id="0">
    <w:p w14:paraId="7E4FC151"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FC155" w14:textId="47C345F5" w:rsidR="0054012D" w:rsidRDefault="00EC7D9D" w:rsidP="001C1F3B">
    <w:pPr>
      <w:pStyle w:val="Kopfzeile"/>
      <w:widowControl/>
      <w:tabs>
        <w:tab w:val="clear" w:pos="1418"/>
        <w:tab w:val="clear" w:pos="1560"/>
        <w:tab w:val="clear" w:pos="9072"/>
        <w:tab w:val="right" w:pos="9639"/>
      </w:tabs>
      <w:spacing w:after="1080"/>
      <w:ind w:right="-2268"/>
    </w:pPr>
    <w:r>
      <w:rPr>
        <w:sz w:val="32"/>
      </w:rPr>
      <w:t>Pressemeldung</w:t>
    </w:r>
    <w:r w:rsidR="0054012D">
      <w:rPr>
        <w:b/>
        <w:sz w:val="28"/>
      </w:rPr>
      <w:tab/>
    </w:r>
    <w:r w:rsidR="00341AB8">
      <w:rPr>
        <w:noProof/>
      </w:rPr>
      <w:drawing>
        <wp:inline distT="0" distB="0" distL="0" distR="0" wp14:anchorId="7E4FC160" wp14:editId="7E4FC161">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7E4FC15A" w14:textId="77777777" w:rsidTr="00C74CDC">
      <w:tc>
        <w:tcPr>
          <w:tcW w:w="3402" w:type="dxa"/>
        </w:tcPr>
        <w:p w14:paraId="7E4FC156" w14:textId="3C4851D1" w:rsidR="00C74CDC" w:rsidRDefault="003841FD" w:rsidP="00913173">
          <w:pPr>
            <w:pStyle w:val="Kopfzeile"/>
            <w:widowControl/>
            <w:tabs>
              <w:tab w:val="clear" w:pos="1418"/>
              <w:tab w:val="clear" w:pos="1560"/>
            </w:tabs>
            <w:spacing w:after="0" w:line="240" w:lineRule="auto"/>
            <w:rPr>
              <w:sz w:val="18"/>
            </w:rPr>
          </w:pPr>
          <w:r>
            <w:rPr>
              <w:sz w:val="18"/>
            </w:rPr>
            <w:t>E2E – Chile</w:t>
          </w:r>
        </w:p>
        <w:p w14:paraId="7E4FC157" w14:textId="77777777" w:rsidR="00C74CDC" w:rsidRDefault="00C74CDC" w:rsidP="00913173">
          <w:pPr>
            <w:pStyle w:val="Kopfzeile"/>
            <w:widowControl/>
            <w:tabs>
              <w:tab w:val="clear" w:pos="1418"/>
              <w:tab w:val="clear" w:pos="1560"/>
            </w:tabs>
            <w:spacing w:after="0"/>
            <w:rPr>
              <w:sz w:val="18"/>
            </w:rPr>
          </w:pPr>
        </w:p>
      </w:tc>
      <w:tc>
        <w:tcPr>
          <w:tcW w:w="2268" w:type="dxa"/>
        </w:tcPr>
        <w:p w14:paraId="7E4FC158" w14:textId="7CCCFA46" w:rsidR="00C74CDC" w:rsidRDefault="00EC7D9D"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Pr>
              <w:noProof/>
              <w:sz w:val="18"/>
            </w:rPr>
            <w:t>3</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Pr>
              <w:noProof/>
              <w:sz w:val="18"/>
            </w:rPr>
            <w:t>3</w:t>
          </w:r>
          <w:r w:rsidR="00C74CDC">
            <w:rPr>
              <w:sz w:val="18"/>
            </w:rPr>
            <w:fldChar w:fldCharType="end"/>
          </w:r>
        </w:p>
      </w:tc>
      <w:tc>
        <w:tcPr>
          <w:tcW w:w="3969" w:type="dxa"/>
        </w:tcPr>
        <w:p w14:paraId="7E4FC159" w14:textId="0C8039C5" w:rsidR="00C74CDC" w:rsidRDefault="00C74CDC" w:rsidP="00EC7D9D">
          <w:pPr>
            <w:pStyle w:val="Kopfzeile"/>
            <w:widowControl/>
            <w:tabs>
              <w:tab w:val="clear" w:pos="1418"/>
              <w:tab w:val="clear" w:pos="1560"/>
              <w:tab w:val="clear" w:pos="9072"/>
              <w:tab w:val="right" w:pos="1763"/>
            </w:tabs>
            <w:spacing w:after="0"/>
            <w:ind w:right="284"/>
            <w:rPr>
              <w:sz w:val="18"/>
            </w:rPr>
          </w:pPr>
          <w:r>
            <w:rPr>
              <w:sz w:val="18"/>
            </w:rPr>
            <w:tab/>
          </w:r>
          <w:r w:rsidR="003841FD">
            <w:rPr>
              <w:sz w:val="18"/>
            </w:rPr>
            <w:t>O</w:t>
          </w:r>
          <w:r w:rsidR="00EC7D9D">
            <w:rPr>
              <w:sz w:val="18"/>
            </w:rPr>
            <w:t>k</w:t>
          </w:r>
          <w:r w:rsidR="003841FD">
            <w:rPr>
              <w:sz w:val="18"/>
            </w:rPr>
            <w:t>tober</w:t>
          </w:r>
          <w:r>
            <w:rPr>
              <w:sz w:val="18"/>
            </w:rPr>
            <w:t xml:space="preserve"> 201</w:t>
          </w:r>
          <w:r w:rsidR="00F53D1F">
            <w:rPr>
              <w:sz w:val="18"/>
            </w:rPr>
            <w:t>9</w:t>
          </w:r>
        </w:p>
      </w:tc>
    </w:tr>
  </w:tbl>
  <w:p w14:paraId="7E4FC15B"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B0CDC"/>
    <w:rsid w:val="001C1F3B"/>
    <w:rsid w:val="001C3917"/>
    <w:rsid w:val="001D7A81"/>
    <w:rsid w:val="001F5F23"/>
    <w:rsid w:val="001F6AB9"/>
    <w:rsid w:val="00213A46"/>
    <w:rsid w:val="0022697A"/>
    <w:rsid w:val="002560A1"/>
    <w:rsid w:val="00257269"/>
    <w:rsid w:val="00262EF5"/>
    <w:rsid w:val="00272217"/>
    <w:rsid w:val="00274D1F"/>
    <w:rsid w:val="00276C42"/>
    <w:rsid w:val="002A19F6"/>
    <w:rsid w:val="002A557A"/>
    <w:rsid w:val="003014A3"/>
    <w:rsid w:val="00306F18"/>
    <w:rsid w:val="00321923"/>
    <w:rsid w:val="003220C3"/>
    <w:rsid w:val="003329DE"/>
    <w:rsid w:val="00341AB8"/>
    <w:rsid w:val="00346010"/>
    <w:rsid w:val="003463D1"/>
    <w:rsid w:val="00351017"/>
    <w:rsid w:val="00367548"/>
    <w:rsid w:val="003804F3"/>
    <w:rsid w:val="003841FD"/>
    <w:rsid w:val="003A0D46"/>
    <w:rsid w:val="003A464D"/>
    <w:rsid w:val="003E1736"/>
    <w:rsid w:val="003E3908"/>
    <w:rsid w:val="00401216"/>
    <w:rsid w:val="00415721"/>
    <w:rsid w:val="004401F4"/>
    <w:rsid w:val="004407DC"/>
    <w:rsid w:val="00443069"/>
    <w:rsid w:val="00445EF9"/>
    <w:rsid w:val="004605F6"/>
    <w:rsid w:val="0046535F"/>
    <w:rsid w:val="00481597"/>
    <w:rsid w:val="004817FB"/>
    <w:rsid w:val="004A2787"/>
    <w:rsid w:val="004B1435"/>
    <w:rsid w:val="00513A4B"/>
    <w:rsid w:val="00520897"/>
    <w:rsid w:val="00527769"/>
    <w:rsid w:val="00537C82"/>
    <w:rsid w:val="0054012D"/>
    <w:rsid w:val="005475DE"/>
    <w:rsid w:val="00547750"/>
    <w:rsid w:val="00570C27"/>
    <w:rsid w:val="0058077E"/>
    <w:rsid w:val="0058611D"/>
    <w:rsid w:val="0058634F"/>
    <w:rsid w:val="005A5380"/>
    <w:rsid w:val="005C623C"/>
    <w:rsid w:val="005D59E6"/>
    <w:rsid w:val="005E0924"/>
    <w:rsid w:val="005F022F"/>
    <w:rsid w:val="005F3F60"/>
    <w:rsid w:val="006143F9"/>
    <w:rsid w:val="00623204"/>
    <w:rsid w:val="0066716B"/>
    <w:rsid w:val="00697D14"/>
    <w:rsid w:val="006C15C6"/>
    <w:rsid w:val="006D5941"/>
    <w:rsid w:val="006E1BAA"/>
    <w:rsid w:val="006F1125"/>
    <w:rsid w:val="0070039B"/>
    <w:rsid w:val="007143F9"/>
    <w:rsid w:val="00735FDB"/>
    <w:rsid w:val="00737128"/>
    <w:rsid w:val="00742CE2"/>
    <w:rsid w:val="00747D17"/>
    <w:rsid w:val="0076147E"/>
    <w:rsid w:val="00772ED8"/>
    <w:rsid w:val="00772FC0"/>
    <w:rsid w:val="00774ABF"/>
    <w:rsid w:val="0079664A"/>
    <w:rsid w:val="007A4EF3"/>
    <w:rsid w:val="007B0121"/>
    <w:rsid w:val="007F0D37"/>
    <w:rsid w:val="007F727D"/>
    <w:rsid w:val="007F7E9B"/>
    <w:rsid w:val="008030A6"/>
    <w:rsid w:val="008051FD"/>
    <w:rsid w:val="00807C59"/>
    <w:rsid w:val="008250FF"/>
    <w:rsid w:val="008461E1"/>
    <w:rsid w:val="008547A0"/>
    <w:rsid w:val="00891766"/>
    <w:rsid w:val="008B07C0"/>
    <w:rsid w:val="008B41AB"/>
    <w:rsid w:val="008C0447"/>
    <w:rsid w:val="008F59E5"/>
    <w:rsid w:val="009051A1"/>
    <w:rsid w:val="009178FE"/>
    <w:rsid w:val="00920D02"/>
    <w:rsid w:val="0093011B"/>
    <w:rsid w:val="009368F5"/>
    <w:rsid w:val="00944CAE"/>
    <w:rsid w:val="009479AC"/>
    <w:rsid w:val="0097733B"/>
    <w:rsid w:val="009A1B07"/>
    <w:rsid w:val="009A4FA6"/>
    <w:rsid w:val="009C58AA"/>
    <w:rsid w:val="009C73C6"/>
    <w:rsid w:val="009E15B5"/>
    <w:rsid w:val="009E1B64"/>
    <w:rsid w:val="009F50FD"/>
    <w:rsid w:val="00A04D46"/>
    <w:rsid w:val="00A13CD6"/>
    <w:rsid w:val="00A14FBB"/>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D2392"/>
    <w:rsid w:val="00BE5F42"/>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A2EAC"/>
    <w:rsid w:val="00EA3D1C"/>
    <w:rsid w:val="00EA6393"/>
    <w:rsid w:val="00EC7D9D"/>
    <w:rsid w:val="00EE5B89"/>
    <w:rsid w:val="00F05208"/>
    <w:rsid w:val="00F06CA2"/>
    <w:rsid w:val="00F12542"/>
    <w:rsid w:val="00F23A94"/>
    <w:rsid w:val="00F2656D"/>
    <w:rsid w:val="00F26FBF"/>
    <w:rsid w:val="00F314D7"/>
    <w:rsid w:val="00F53D1F"/>
    <w:rsid w:val="00F62BC5"/>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E4FC122"/>
  <w15:docId w15:val="{9FEBDB5F-E1DB-4295-A702-E23AFF3EA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62BC5"/>
    <w:pPr>
      <w:spacing w:after="360"/>
      <w:outlineLvl w:val="0"/>
    </w:pPr>
    <w:rPr>
      <w:b/>
      <w:color w:val="00A0DC" w:themeColor="background2"/>
      <w:sz w:val="32"/>
    </w:rPr>
  </w:style>
  <w:style w:type="paragraph" w:styleId="berschrift2">
    <w:name w:val="heading 2"/>
    <w:aliases w:val="Sub-Headline"/>
    <w:basedOn w:val="Standard"/>
    <w:next w:val="Standard"/>
    <w:qFormat/>
    <w:rsid w:val="00F62BC5"/>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EA2EAC"/>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1B0CD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77C01E-C2E2-4E0D-82E8-60E555F1A286}">
  <ds:schemaRefs>
    <ds:schemaRef ds:uri="http://schemas.microsoft.com/sharepoint/v3/contenttype/forms"/>
  </ds:schemaRefs>
</ds:datastoreItem>
</file>

<file path=customXml/itemProps2.xml><?xml version="1.0" encoding="utf-8"?>
<ds:datastoreItem xmlns:ds="http://schemas.openxmlformats.org/officeDocument/2006/customXml" ds:itemID="{F62B54EF-588E-4EAB-B144-22643DE56B3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CE2E68C-816D-4E72-BA6E-0EFB4AB80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Brumm, Tamara</cp:lastModifiedBy>
  <cp:revision>6</cp:revision>
  <cp:lastPrinted>2018-02-22T10:43:00Z</cp:lastPrinted>
  <dcterms:created xsi:type="dcterms:W3CDTF">2019-10-11T08:48:00Z</dcterms:created>
  <dcterms:modified xsi:type="dcterms:W3CDTF">2019-10-11T09:36:00Z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