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878603" w14:textId="666D6415" w:rsidR="003D6FB3" w:rsidRPr="003D6FB3" w:rsidRDefault="003D6FB3" w:rsidP="003D6FB3">
      <w:pPr>
        <w:pStyle w:val="Ttulo1"/>
        <w:ind w:right="-1134"/>
        <w:rPr>
          <w:lang w:val="pt-BR"/>
        </w:rPr>
      </w:pPr>
      <w:r w:rsidRPr="003D6FB3">
        <w:rPr>
          <w:lang w:val="pt-BR"/>
        </w:rPr>
        <w:t xml:space="preserve">Construção </w:t>
      </w:r>
      <w:r w:rsidR="00100A39">
        <w:rPr>
          <w:lang w:val="pt-BR"/>
        </w:rPr>
        <w:t>P</w:t>
      </w:r>
      <w:r w:rsidRPr="003D6FB3">
        <w:rPr>
          <w:lang w:val="pt-BR"/>
        </w:rPr>
        <w:t>ré-</w:t>
      </w:r>
      <w:r w:rsidR="00100A39">
        <w:rPr>
          <w:lang w:val="pt-BR"/>
        </w:rPr>
        <w:t>F</w:t>
      </w:r>
      <w:r w:rsidRPr="003D6FB3">
        <w:rPr>
          <w:lang w:val="pt-BR"/>
        </w:rPr>
        <w:t xml:space="preserve">abricada em </w:t>
      </w:r>
      <w:r w:rsidR="00100A39">
        <w:rPr>
          <w:lang w:val="pt-BR"/>
        </w:rPr>
        <w:t>M</w:t>
      </w:r>
      <w:r w:rsidRPr="003D6FB3">
        <w:rPr>
          <w:lang w:val="pt-BR"/>
        </w:rPr>
        <w:t xml:space="preserve">adeira dá </w:t>
      </w:r>
      <w:r w:rsidR="00100A39">
        <w:rPr>
          <w:lang w:val="pt-BR"/>
        </w:rPr>
        <w:t>N</w:t>
      </w:r>
      <w:r w:rsidRPr="003D6FB3">
        <w:rPr>
          <w:lang w:val="pt-BR"/>
        </w:rPr>
        <w:t xml:space="preserve">ovo </w:t>
      </w:r>
      <w:r w:rsidR="00100A39">
        <w:rPr>
          <w:lang w:val="pt-BR"/>
        </w:rPr>
        <w:t>S</w:t>
      </w:r>
      <w:r w:rsidRPr="003D6FB3">
        <w:rPr>
          <w:lang w:val="pt-BR"/>
        </w:rPr>
        <w:t>alto no Chile</w:t>
      </w:r>
    </w:p>
    <w:p w14:paraId="00243C00" w14:textId="340B7C10" w:rsidR="003D6FB3" w:rsidRDefault="003D6FB3" w:rsidP="003D6FB3">
      <w:pPr>
        <w:ind w:right="-1134"/>
        <w:rPr>
          <w:b/>
          <w:lang w:val="pt-BR"/>
        </w:rPr>
      </w:pPr>
      <w:r w:rsidRPr="003D6FB3">
        <w:rPr>
          <w:b/>
          <w:lang w:val="pt-BR"/>
        </w:rPr>
        <w:t xml:space="preserve">Empresa chilena inaugura a primeira fábrica de casas pré-fabricadas e edifícios em madeira com uma projeção de vendas de US$ 25 milhões. </w:t>
      </w:r>
    </w:p>
    <w:p w14:paraId="37A34715" w14:textId="77777777" w:rsidR="008A690C" w:rsidRPr="003D6FB3" w:rsidRDefault="008A690C" w:rsidP="003D6FB3">
      <w:pPr>
        <w:ind w:right="-1134"/>
        <w:rPr>
          <w:b/>
          <w:lang w:val="pt-BR"/>
        </w:rPr>
      </w:pPr>
    </w:p>
    <w:p w14:paraId="0BDA9047" w14:textId="498CC10F" w:rsidR="003D6FB3" w:rsidRPr="00320DFB" w:rsidRDefault="003D6FB3" w:rsidP="003D6FB3">
      <w:pPr>
        <w:ind w:right="-1134"/>
        <w:rPr>
          <w:lang w:val="pt-BR"/>
        </w:rPr>
      </w:pPr>
      <w:r w:rsidRPr="003D6FB3">
        <w:rPr>
          <w:lang w:val="pt-BR"/>
        </w:rPr>
        <w:t xml:space="preserve">Com apenas um ano de existência, a empresa chilena E2E é uma joint venture entre a </w:t>
      </w:r>
      <w:proofErr w:type="spellStart"/>
      <w:r w:rsidRPr="003D6FB3">
        <w:rPr>
          <w:lang w:val="pt-BR"/>
        </w:rPr>
        <w:t>Arauco</w:t>
      </w:r>
      <w:proofErr w:type="spellEnd"/>
      <w:r w:rsidRPr="003D6FB3">
        <w:rPr>
          <w:lang w:val="pt-BR"/>
        </w:rPr>
        <w:t xml:space="preserve"> e a empresa belga </w:t>
      </w:r>
      <w:proofErr w:type="spellStart"/>
      <w:r w:rsidRPr="003D6FB3">
        <w:rPr>
          <w:lang w:val="pt-BR"/>
        </w:rPr>
        <w:t>Etex</w:t>
      </w:r>
      <w:proofErr w:type="spellEnd"/>
      <w:r w:rsidRPr="003D6FB3">
        <w:rPr>
          <w:lang w:val="pt-BR"/>
        </w:rPr>
        <w:t xml:space="preserve">. </w:t>
      </w:r>
      <w:r w:rsidRPr="00320DFB">
        <w:rPr>
          <w:lang w:val="pt-BR"/>
        </w:rPr>
        <w:t xml:space="preserve">A fábrica, que opera desde fevereiro de 2019 em Santiago do Chile, tem a capacidade de construir 1.000 moradias por ano entre casas pré-fabricadas e edifícios de madeira. </w:t>
      </w:r>
    </w:p>
    <w:p w14:paraId="576AA2BF" w14:textId="77777777" w:rsidR="003D6FB3" w:rsidRDefault="003D6FB3" w:rsidP="003D6FB3">
      <w:pPr>
        <w:rPr>
          <w:lang w:val="pt-BR"/>
        </w:rPr>
      </w:pPr>
      <w:r>
        <w:rPr>
          <w:lang w:val="pt-BR"/>
        </w:rPr>
        <w:t xml:space="preserve">A projeção de US$ 25 milhões em vendas em 3 anos conta com um plano de investimento de US$15 milhões, dos quais 6 milhões foram investidos na fábrica de produção com máquinas da </w:t>
      </w:r>
      <w:r w:rsidRPr="00AE5ABA">
        <w:rPr>
          <w:lang w:val="pt-BR"/>
        </w:rPr>
        <w:t>WEINMANN</w:t>
      </w:r>
      <w:r>
        <w:rPr>
          <w:lang w:val="pt-BR"/>
        </w:rPr>
        <w:t xml:space="preserve">, empresa do Grupo HOMAG e líder mundial em máquinas e soluções completas para a construção com madeira. </w:t>
      </w:r>
    </w:p>
    <w:p w14:paraId="3C868E21" w14:textId="0756A789" w:rsidR="003D6FB3" w:rsidRPr="003D6FB3" w:rsidRDefault="003D6FB3" w:rsidP="003841FD">
      <w:pPr>
        <w:ind w:right="-1134"/>
        <w:rPr>
          <w:lang w:val="pt-BR"/>
        </w:rPr>
      </w:pPr>
      <w:r>
        <w:rPr>
          <w:lang w:val="pt-BR"/>
        </w:rPr>
        <w:t xml:space="preserve">Mesmo com a produção operando há pouco mais de 6 meses, a empresa comemora o fato de já estar construindo 400 casas de dois andares em Casablanca e desenvolvendo um conjunto de edifícios de 4 andares em </w:t>
      </w:r>
      <w:proofErr w:type="spellStart"/>
      <w:r>
        <w:rPr>
          <w:lang w:val="pt-BR"/>
        </w:rPr>
        <w:t>Concepción</w:t>
      </w:r>
      <w:proofErr w:type="spellEnd"/>
      <w:r>
        <w:rPr>
          <w:lang w:val="pt-BR"/>
        </w:rPr>
        <w:t xml:space="preserve"> no Chile.</w:t>
      </w:r>
    </w:p>
    <w:p w14:paraId="5699DEF6" w14:textId="77777777" w:rsidR="003D6FB3" w:rsidRDefault="003D6FB3" w:rsidP="003D6FB3">
      <w:pPr>
        <w:rPr>
          <w:lang w:val="pt-BR"/>
        </w:rPr>
      </w:pPr>
      <w:r>
        <w:rPr>
          <w:lang w:val="pt-BR"/>
        </w:rPr>
        <w:t>Segundo Felipe Montes, gerente geral da E2E, no momento a fábrica está com um ritmo de construção de 16 casas por semana e dentro dos próximos dias também iniciarão a montagem de edifícios de 4 andares, com o total de 16 apartamentos de 50m².</w:t>
      </w:r>
    </w:p>
    <w:p w14:paraId="6666F75F" w14:textId="77777777" w:rsidR="003D6FB3" w:rsidRDefault="003D6FB3" w:rsidP="003841FD">
      <w:pPr>
        <w:ind w:right="-1134"/>
        <w:rPr>
          <w:lang w:val="pt-BR"/>
        </w:rPr>
      </w:pPr>
      <w:r>
        <w:rPr>
          <w:lang w:val="pt-BR"/>
        </w:rPr>
        <w:t>O gerente geral também destaca que com as tecnologias de produção eles diminuíram o tempo de entrega de 12 para 8 meses. Além de economizarem tempo e aumentarem a produtividade, também estão gerando menos resíduos, já que quase toda a construção é feita na fábrica, o que diminui o volume de rejeitos durante a edificação.</w:t>
      </w:r>
    </w:p>
    <w:p w14:paraId="01225672" w14:textId="04AC7E50" w:rsidR="003D6FB3" w:rsidRDefault="003D6FB3" w:rsidP="003D6FB3">
      <w:pPr>
        <w:rPr>
          <w:lang w:val="pt-BR"/>
        </w:rPr>
      </w:pPr>
      <w:r>
        <w:rPr>
          <w:lang w:val="pt-BR"/>
        </w:rPr>
        <w:t xml:space="preserve">Devido à grande demanda por moradias no Chile e a necessidade de fornecê-las a curto prazo, Montes revela que já estão estudando uma ampliação da fábrica e instalar uma segunda linha, mas isto ainda não é considerado um projeto de curto prazo. O gerente também revelou que estão interessados em participar de um projeto do Serviu (Serviço de moradia e urbanização) da Região de </w:t>
      </w:r>
      <w:proofErr w:type="spellStart"/>
      <w:r>
        <w:rPr>
          <w:lang w:val="pt-BR"/>
        </w:rPr>
        <w:t>O´Higgins</w:t>
      </w:r>
      <w:proofErr w:type="spellEnd"/>
      <w:r>
        <w:rPr>
          <w:lang w:val="pt-BR"/>
        </w:rPr>
        <w:t>” para construir o primeiro edifício de madeira de 6 andares.</w:t>
      </w:r>
    </w:p>
    <w:p w14:paraId="20B9F0E3" w14:textId="77777777" w:rsidR="003D6FB3" w:rsidRDefault="003D6FB3" w:rsidP="003D6FB3">
      <w:pPr>
        <w:rPr>
          <w:lang w:val="pt-BR"/>
        </w:rPr>
      </w:pPr>
      <w:r>
        <w:rPr>
          <w:lang w:val="pt-BR"/>
        </w:rPr>
        <w:lastRenderedPageBreak/>
        <w:t>“Seria o mais alto edifício de moradias em madeira”, afirma.</w:t>
      </w:r>
    </w:p>
    <w:p w14:paraId="68767B7B" w14:textId="77777777" w:rsidR="003D6FB3" w:rsidRDefault="003D6FB3" w:rsidP="003D6FB3">
      <w:pPr>
        <w:rPr>
          <w:lang w:val="pt-BR"/>
        </w:rPr>
      </w:pPr>
    </w:p>
    <w:p w14:paraId="69F512F1" w14:textId="0EFA6A12" w:rsidR="003D6FB3" w:rsidRDefault="003D6FB3" w:rsidP="003D6FB3">
      <w:pPr>
        <w:rPr>
          <w:lang w:val="pt-BR"/>
        </w:rPr>
      </w:pPr>
      <w:r>
        <w:rPr>
          <w:lang w:val="pt-BR"/>
        </w:rPr>
        <w:t xml:space="preserve">Embora o plano de expansão esteja concentrado no Chile, Montes revela que no futuro pretendem dar um salto para outros mercados da região. </w:t>
      </w:r>
    </w:p>
    <w:p w14:paraId="7A975B48" w14:textId="77777777" w:rsidR="003D6FB3" w:rsidRDefault="003D6FB3" w:rsidP="003D6FB3">
      <w:pPr>
        <w:rPr>
          <w:lang w:val="pt-BR"/>
        </w:rPr>
      </w:pPr>
      <w:r>
        <w:rPr>
          <w:lang w:val="pt-BR"/>
        </w:rPr>
        <w:t>“Como partimos de duas empresas globais, temos uma visão global e latino-americana. Todos os países têm a necessidade de moradias, e sobretudo deste tipo, amigas do meio ambiente e industrializadas. E a madeira, por ser renovável, está sendo vista como material do futuro na construção”, complementa.</w:t>
      </w:r>
    </w:p>
    <w:p w14:paraId="5FF12275" w14:textId="77777777" w:rsidR="003D6FB3" w:rsidRDefault="003D6FB3" w:rsidP="003D6FB3">
      <w:pPr>
        <w:rPr>
          <w:lang w:val="pt-BR"/>
        </w:rPr>
      </w:pPr>
      <w:r>
        <w:rPr>
          <w:lang w:val="pt-BR"/>
        </w:rPr>
        <w:t>O gerente aponta ainda que na América Latina o mercado de construção com madeira ainda é pequeno. No caso do Chile, abrange somente 15% número que pretendem duplicar em 2020. Esta porcentagem é ainda menor em outros países.</w:t>
      </w:r>
    </w:p>
    <w:p w14:paraId="349DF9C8" w14:textId="77777777" w:rsidR="003D6FB3" w:rsidRPr="002515D9" w:rsidRDefault="003D6FB3" w:rsidP="003D6FB3">
      <w:pPr>
        <w:rPr>
          <w:lang w:val="pt-BR"/>
        </w:rPr>
      </w:pPr>
      <w:r>
        <w:rPr>
          <w:lang w:val="pt-BR"/>
        </w:rPr>
        <w:t>“Tudo isto é um mercado do futuro. Neste momento é muito baixo, mas já está se percebendo que a madeira vai ser a solução para a construção no futuro”, indica.</w:t>
      </w:r>
    </w:p>
    <w:p w14:paraId="0C364AA2" w14:textId="3E1341C0" w:rsidR="003D6FB3" w:rsidRDefault="003D6FB3" w:rsidP="003D6FB3">
      <w:pPr>
        <w:rPr>
          <w:lang w:val="pt-BR"/>
        </w:rPr>
      </w:pPr>
      <w:r>
        <w:rPr>
          <w:lang w:val="pt-BR"/>
        </w:rPr>
        <w:t xml:space="preserve">Para realizar este projeto ambicioso, a E2E pôde confiar nas soluções e experiência do Grupo HOMAG.  A Limaq, representante do Grupo HOMAG com forte atuação no mercado argentino e chileno há quase 20 anos, o gerente geral de vendas para América Latina da HOMAG, o Sr. Eduardo Bezares e os especialistas da WEINMANN, os senhores Tobias e </w:t>
      </w:r>
      <w:proofErr w:type="spellStart"/>
      <w:r>
        <w:rPr>
          <w:lang w:val="pt-BR"/>
        </w:rPr>
        <w:t>Hansbert</w:t>
      </w:r>
      <w:proofErr w:type="spellEnd"/>
      <w:r>
        <w:rPr>
          <w:lang w:val="pt-BR"/>
        </w:rPr>
        <w:t xml:space="preserve"> </w:t>
      </w:r>
      <w:proofErr w:type="spellStart"/>
      <w:r>
        <w:rPr>
          <w:lang w:val="pt-BR"/>
        </w:rPr>
        <w:t>Ott</w:t>
      </w:r>
      <w:proofErr w:type="spellEnd"/>
      <w:r>
        <w:rPr>
          <w:lang w:val="pt-BR"/>
        </w:rPr>
        <w:t xml:space="preserve"> formaram uma equipe técnica que juntamente com os profissionais da E2E, desenvolveram a solução completa para satisfazer as necessidades e aspirações do negócio.</w:t>
      </w:r>
    </w:p>
    <w:p w14:paraId="03CE2990" w14:textId="77777777" w:rsidR="00EA2406" w:rsidRDefault="00EA2406" w:rsidP="003D6FB3">
      <w:pPr>
        <w:rPr>
          <w:lang w:val="pt-BR"/>
        </w:rPr>
      </w:pPr>
    </w:p>
    <w:p w14:paraId="438F3EDC" w14:textId="7D85E697" w:rsidR="003841FD" w:rsidRPr="00D6302F" w:rsidRDefault="003D6FB3" w:rsidP="003841FD">
      <w:pPr>
        <w:pStyle w:val="Kasten-trkis"/>
        <w:rPr>
          <w:lang w:val="pt-BR"/>
        </w:rPr>
      </w:pPr>
      <w:r w:rsidRPr="008A690C">
        <w:rPr>
          <w:i/>
          <w:lang w:val="pt-BR"/>
        </w:rPr>
        <w:t>Nossos clientes contam com o apoio de anos de experiência e o atendimento personalizado que nos caracteriza. A preocupação em oferecer o melhor serviço aos seus clientes fez da Limaq uma empresa importante para os interessados em trabalhar madeira. ”</w:t>
      </w:r>
      <w:r w:rsidR="003841FD" w:rsidRPr="003D6FB3">
        <w:rPr>
          <w:lang w:val="pt-BR"/>
        </w:rPr>
        <w:br/>
      </w:r>
      <w:r w:rsidR="003841FD" w:rsidRPr="00D6302F">
        <w:rPr>
          <w:lang w:val="pt-BR"/>
        </w:rPr>
        <w:t>Jorge Panjkovich, (</w:t>
      </w:r>
      <w:r w:rsidRPr="00D6302F">
        <w:rPr>
          <w:lang w:val="pt-BR"/>
        </w:rPr>
        <w:t>Diretor da Limaq</w:t>
      </w:r>
      <w:r w:rsidR="003841FD" w:rsidRPr="00D6302F">
        <w:rPr>
          <w:lang w:val="pt-BR"/>
        </w:rPr>
        <w:t>)</w:t>
      </w:r>
    </w:p>
    <w:p w14:paraId="5463A7F4" w14:textId="0DE049DC" w:rsidR="003841FD" w:rsidRDefault="003841FD" w:rsidP="003841FD">
      <w:pPr>
        <w:ind w:right="-1134"/>
        <w:rPr>
          <w:lang w:val="pt-BR"/>
        </w:rPr>
      </w:pPr>
    </w:p>
    <w:p w14:paraId="707E363D" w14:textId="04678CD1" w:rsidR="00D6302F" w:rsidRDefault="00D6302F" w:rsidP="003841FD">
      <w:pPr>
        <w:ind w:right="-1134"/>
        <w:rPr>
          <w:lang w:val="pt-BR"/>
        </w:rPr>
      </w:pPr>
    </w:p>
    <w:p w14:paraId="1391DCE9" w14:textId="77777777" w:rsidR="00D6302F" w:rsidRPr="00D6302F" w:rsidRDefault="00D6302F" w:rsidP="003841FD">
      <w:pPr>
        <w:ind w:right="-1134"/>
        <w:rPr>
          <w:lang w:val="pt-BR"/>
        </w:rPr>
      </w:pPr>
    </w:p>
    <w:p w14:paraId="7FAD6E3D" w14:textId="086C15D2" w:rsidR="003841FD" w:rsidRPr="00D6302F" w:rsidRDefault="003841FD" w:rsidP="003841FD">
      <w:pPr>
        <w:pStyle w:val="Kasten-trkis"/>
        <w:rPr>
          <w:i/>
          <w:lang w:val="pt-BR"/>
        </w:rPr>
      </w:pPr>
      <w:r w:rsidRPr="00D6302F">
        <w:rPr>
          <w:i/>
          <w:lang w:val="pt-BR"/>
        </w:rPr>
        <w:lastRenderedPageBreak/>
        <w:t>“</w:t>
      </w:r>
      <w:r w:rsidR="00D6302F">
        <w:rPr>
          <w:i/>
          <w:lang w:val="pt-BR"/>
        </w:rPr>
        <w:t xml:space="preserve">Acreditamos na construção em madeira, acreditamos no material e na industrialização da forma de construir, este projeto junto </w:t>
      </w:r>
      <w:r w:rsidR="00320DFB">
        <w:rPr>
          <w:i/>
          <w:lang w:val="pt-BR"/>
        </w:rPr>
        <w:t>à</w:t>
      </w:r>
      <w:r w:rsidR="00D6302F">
        <w:rPr>
          <w:i/>
          <w:lang w:val="pt-BR"/>
        </w:rPr>
        <w:t xml:space="preserve"> E2E mostra como é possível alcançar a excelência e a sustentabilidades juntas”</w:t>
      </w:r>
      <w:r w:rsidR="00D6302F" w:rsidRPr="00D6302F">
        <w:rPr>
          <w:i/>
          <w:lang w:val="pt-BR"/>
        </w:rPr>
        <w:t xml:space="preserve"> </w:t>
      </w:r>
    </w:p>
    <w:p w14:paraId="0E2F30FB" w14:textId="3235C7CB" w:rsidR="003841FD" w:rsidRPr="009D5F7A" w:rsidRDefault="003841FD" w:rsidP="003841FD">
      <w:pPr>
        <w:pStyle w:val="Kasten-trkis"/>
        <w:rPr>
          <w:lang w:val="pt-BR"/>
        </w:rPr>
      </w:pPr>
      <w:r w:rsidRPr="009D5F7A">
        <w:rPr>
          <w:lang w:val="pt-BR"/>
        </w:rPr>
        <w:t>Eduardo Bezares (</w:t>
      </w:r>
      <w:r w:rsidR="00D6302F">
        <w:rPr>
          <w:lang w:val="pt-BR"/>
        </w:rPr>
        <w:t>Gerente de Vendas para América Latina</w:t>
      </w:r>
      <w:r w:rsidRPr="009D5F7A">
        <w:rPr>
          <w:lang w:val="pt-BR"/>
        </w:rPr>
        <w:t>, Homag São Paulo)</w:t>
      </w:r>
    </w:p>
    <w:p w14:paraId="0C68963F" w14:textId="77777777" w:rsidR="003841FD" w:rsidRPr="009D5F7A" w:rsidRDefault="003841FD" w:rsidP="003841FD">
      <w:pPr>
        <w:ind w:right="-1134"/>
        <w:rPr>
          <w:lang w:val="pt-BR"/>
        </w:rPr>
      </w:pPr>
    </w:p>
    <w:p w14:paraId="65C4E865" w14:textId="6ED0A73A" w:rsidR="003841FD" w:rsidRPr="00D6302F" w:rsidRDefault="001E501D" w:rsidP="003841FD">
      <w:pPr>
        <w:pStyle w:val="Kasten-trkis"/>
        <w:rPr>
          <w:i/>
          <w:lang w:val="pt-BR"/>
        </w:rPr>
      </w:pPr>
      <w:r>
        <w:rPr>
          <w:i/>
          <w:lang w:val="pt-BR"/>
        </w:rPr>
        <w:t xml:space="preserve"> “</w:t>
      </w:r>
      <w:r w:rsidR="00D6302F" w:rsidRPr="00D6302F">
        <w:rPr>
          <w:i/>
          <w:lang w:val="pt-BR"/>
        </w:rPr>
        <w:t xml:space="preserve">A tecnologia </w:t>
      </w:r>
      <w:r w:rsidR="00D6302F">
        <w:rPr>
          <w:i/>
          <w:lang w:val="pt-BR"/>
        </w:rPr>
        <w:t>de</w:t>
      </w:r>
      <w:r w:rsidR="00D6302F" w:rsidRPr="00D6302F">
        <w:rPr>
          <w:i/>
          <w:lang w:val="pt-BR"/>
        </w:rPr>
        <w:t xml:space="preserve"> </w:t>
      </w:r>
      <w:r w:rsidR="00320DFB">
        <w:rPr>
          <w:i/>
          <w:lang w:val="pt-BR"/>
        </w:rPr>
        <w:t>pré-fabricação</w:t>
      </w:r>
      <w:r w:rsidR="00D6302F">
        <w:rPr>
          <w:i/>
          <w:lang w:val="pt-BR"/>
        </w:rPr>
        <w:t xml:space="preserve"> de </w:t>
      </w:r>
      <w:r w:rsidR="00D6302F" w:rsidRPr="00D6302F">
        <w:rPr>
          <w:i/>
          <w:lang w:val="pt-BR"/>
        </w:rPr>
        <w:t>casas individuais e edifícios com</w:t>
      </w:r>
      <w:r w:rsidR="00D6302F">
        <w:rPr>
          <w:i/>
          <w:lang w:val="pt-BR"/>
        </w:rPr>
        <w:t xml:space="preserve"> vários andare</w:t>
      </w:r>
      <w:r w:rsidR="00320DFB">
        <w:rPr>
          <w:i/>
          <w:lang w:val="pt-BR"/>
        </w:rPr>
        <w:t>s será uma revolução no setor de</w:t>
      </w:r>
      <w:r w:rsidR="00D6302F">
        <w:rPr>
          <w:i/>
          <w:lang w:val="pt-BR"/>
        </w:rPr>
        <w:t xml:space="preserve"> construção no Chile. Ela oferece alta flexibilidade e qualidade, assim como uma produção contínua.  </w:t>
      </w:r>
      <w:r>
        <w:rPr>
          <w:i/>
          <w:lang w:val="pt-BR"/>
        </w:rPr>
        <w:t>Com os processos industriais, as construções de madeira podem ser fabricadas com alta eficiência. E</w:t>
      </w:r>
      <w:bookmarkStart w:id="0" w:name="_GoBack"/>
      <w:bookmarkEnd w:id="0"/>
      <w:r>
        <w:rPr>
          <w:i/>
          <w:lang w:val="pt-BR"/>
        </w:rPr>
        <w:t xml:space="preserve">sta será a resposta para a alta demanda por casas acessíveis por todo o mundo. </w:t>
      </w:r>
      <w:r w:rsidR="003841FD" w:rsidRPr="00D6302F">
        <w:rPr>
          <w:i/>
          <w:lang w:val="pt-BR"/>
        </w:rPr>
        <w:t>”</w:t>
      </w:r>
    </w:p>
    <w:p w14:paraId="1C547DC8" w14:textId="36AACB7F" w:rsidR="003841FD" w:rsidRPr="001E501D" w:rsidRDefault="003841FD" w:rsidP="003841FD">
      <w:pPr>
        <w:pStyle w:val="Kasten-trkis"/>
      </w:pPr>
      <w:r w:rsidRPr="001E501D">
        <w:t xml:space="preserve">Hansbert Ott (Director </w:t>
      </w:r>
      <w:r w:rsidR="001E501D" w:rsidRPr="001E501D">
        <w:t>da</w:t>
      </w:r>
      <w:r w:rsidRPr="001E501D">
        <w:t xml:space="preserve"> WEINMANN)</w:t>
      </w:r>
    </w:p>
    <w:p w14:paraId="7E4FC12E" w14:textId="77777777" w:rsidR="00F2656D" w:rsidRPr="001E501D" w:rsidRDefault="00D65A21" w:rsidP="003841FD">
      <w:pPr>
        <w:pStyle w:val="SemEspaamento"/>
        <w:ind w:right="-1134"/>
      </w:pPr>
      <w:r w:rsidRPr="001E501D">
        <w:rPr>
          <w:rFonts w:cs="Arial"/>
          <w:sz w:val="24"/>
          <w:szCs w:val="24"/>
        </w:rPr>
        <w:br w:type="page"/>
      </w:r>
      <w:r w:rsidR="005E0924" w:rsidRPr="001E501D">
        <w:lastRenderedPageBreak/>
        <w:t>Images</w:t>
      </w:r>
    </w:p>
    <w:p w14:paraId="7E4FC12F" w14:textId="001BA015" w:rsidR="00F2656D" w:rsidRPr="001E501D" w:rsidRDefault="005E0924" w:rsidP="003841FD">
      <w:pPr>
        <w:pStyle w:val="SemEspaamento"/>
        <w:ind w:right="-1134"/>
        <w:rPr>
          <w:b w:val="0"/>
        </w:rPr>
      </w:pPr>
      <w:r w:rsidRPr="001E501D">
        <w:rPr>
          <w:b w:val="0"/>
        </w:rPr>
        <w:t>Image source</w:t>
      </w:r>
      <w:r w:rsidR="00F2656D" w:rsidRPr="001E501D">
        <w:rPr>
          <w:b w:val="0"/>
        </w:rPr>
        <w:t xml:space="preserve">: </w:t>
      </w:r>
      <w:r w:rsidR="003841FD" w:rsidRPr="001E501D">
        <w:rPr>
          <w:b w:val="0"/>
        </w:rPr>
        <w:t>E2E</w:t>
      </w:r>
    </w:p>
    <w:p w14:paraId="7E4FC130" w14:textId="77777777" w:rsidR="00F2656D" w:rsidRPr="001E501D" w:rsidRDefault="00F2656D" w:rsidP="003841FD">
      <w:pPr>
        <w:pStyle w:val="SemEspaamento"/>
        <w:ind w:right="-1134"/>
        <w:rPr>
          <w:b w:val="0"/>
        </w:rPr>
      </w:pPr>
    </w:p>
    <w:p w14:paraId="7E4FC131" w14:textId="77777777" w:rsidR="008547A0" w:rsidRPr="001E501D" w:rsidRDefault="008547A0" w:rsidP="003841FD">
      <w:pPr>
        <w:pStyle w:val="SemEspaamento"/>
        <w:ind w:right="-1134"/>
        <w:rPr>
          <w:b w:val="0"/>
        </w:rPr>
      </w:pPr>
    </w:p>
    <w:p w14:paraId="7E4FC132" w14:textId="77777777" w:rsidR="008547A0" w:rsidRPr="001E501D" w:rsidRDefault="008547A0" w:rsidP="003841FD">
      <w:pPr>
        <w:pStyle w:val="SemEspaamento"/>
        <w:ind w:right="-1134"/>
        <w:rPr>
          <w:b w:val="0"/>
        </w:rPr>
      </w:pPr>
    </w:p>
    <w:p w14:paraId="7E4FC133" w14:textId="77777777" w:rsidR="008547A0" w:rsidRPr="001E501D" w:rsidRDefault="008547A0" w:rsidP="003841FD">
      <w:pPr>
        <w:pStyle w:val="SemEspaamento"/>
        <w:ind w:right="-1134"/>
        <w:rPr>
          <w:b w:val="0"/>
        </w:rPr>
      </w:pPr>
    </w:p>
    <w:p w14:paraId="7E4FC134" w14:textId="77777777" w:rsidR="008547A0" w:rsidRPr="001E501D" w:rsidRDefault="008547A0" w:rsidP="003841FD">
      <w:pPr>
        <w:pStyle w:val="SemEspaamento"/>
        <w:ind w:right="-1134"/>
        <w:rPr>
          <w:b w:val="0"/>
        </w:rPr>
      </w:pPr>
    </w:p>
    <w:p w14:paraId="7E4FC135" w14:textId="14BE9D12" w:rsidR="00F2656D" w:rsidRPr="005E0924" w:rsidRDefault="003841FD" w:rsidP="003841FD">
      <w:pPr>
        <w:pStyle w:val="SemEspaamento"/>
        <w:ind w:right="-1134"/>
        <w:rPr>
          <w:b w:val="0"/>
          <w:lang w:val="en-US"/>
        </w:rPr>
      </w:pPr>
      <w:r>
        <w:rPr>
          <w:noProof/>
          <w:lang w:val="pt-BR" w:eastAsia="pt-BR"/>
        </w:rPr>
        <w:drawing>
          <wp:inline distT="0" distB="0" distL="0" distR="0" wp14:anchorId="6F9C7F92" wp14:editId="393814B5">
            <wp:extent cx="2520000" cy="1492222"/>
            <wp:effectExtent l="0" t="0" r="0" b="0"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oto 0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492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4FC136" w14:textId="77777777" w:rsidR="00B57FAC" w:rsidRPr="005E0924" w:rsidRDefault="005E0924" w:rsidP="003841FD">
      <w:pPr>
        <w:pStyle w:val="Ttulo"/>
        <w:ind w:right="-1134"/>
        <w:rPr>
          <w:lang w:val="en-US"/>
        </w:rPr>
      </w:pPr>
      <w:r>
        <w:rPr>
          <w:lang w:val="en-US"/>
        </w:rPr>
        <w:t>Image</w:t>
      </w:r>
      <w:r w:rsidR="00B57FAC" w:rsidRPr="005E0924">
        <w:rPr>
          <w:lang w:val="en-US"/>
        </w:rPr>
        <w:t xml:space="preserve"> 1:</w:t>
      </w:r>
    </w:p>
    <w:p w14:paraId="7E4FC137" w14:textId="03154779" w:rsidR="00B57FAC" w:rsidRDefault="003841FD" w:rsidP="003841FD">
      <w:pPr>
        <w:pStyle w:val="Ttulo"/>
        <w:ind w:right="-1134"/>
        <w:rPr>
          <w:b w:val="0"/>
          <w:szCs w:val="22"/>
          <w:lang w:val="en-US"/>
        </w:rPr>
      </w:pPr>
      <w:r>
        <w:rPr>
          <w:b w:val="0"/>
          <w:szCs w:val="22"/>
          <w:lang w:val="en-US"/>
        </w:rPr>
        <w:t xml:space="preserve">From left to right: </w:t>
      </w:r>
      <w:r w:rsidRPr="003841FD">
        <w:rPr>
          <w:b w:val="0"/>
          <w:szCs w:val="22"/>
          <w:lang w:val="en-US"/>
        </w:rPr>
        <w:t>Per-</w:t>
      </w:r>
      <w:proofErr w:type="spellStart"/>
      <w:r w:rsidRPr="003841FD">
        <w:rPr>
          <w:b w:val="0"/>
          <w:szCs w:val="22"/>
          <w:lang w:val="en-US"/>
        </w:rPr>
        <w:t>Olof</w:t>
      </w:r>
      <w:proofErr w:type="spellEnd"/>
      <w:r w:rsidRPr="003841FD">
        <w:rPr>
          <w:b w:val="0"/>
          <w:szCs w:val="22"/>
          <w:lang w:val="en-US"/>
        </w:rPr>
        <w:t xml:space="preserve"> </w:t>
      </w:r>
      <w:proofErr w:type="spellStart"/>
      <w:r w:rsidRPr="003841FD">
        <w:rPr>
          <w:b w:val="0"/>
          <w:szCs w:val="22"/>
          <w:lang w:val="en-US"/>
        </w:rPr>
        <w:t>Algotsson</w:t>
      </w:r>
      <w:proofErr w:type="spellEnd"/>
      <w:r w:rsidRPr="003841FD">
        <w:rPr>
          <w:b w:val="0"/>
          <w:szCs w:val="22"/>
          <w:lang w:val="en-US"/>
        </w:rPr>
        <w:t xml:space="preserve"> (</w:t>
      </w:r>
      <w:proofErr w:type="spellStart"/>
      <w:r w:rsidRPr="003841FD">
        <w:rPr>
          <w:b w:val="0"/>
          <w:szCs w:val="22"/>
          <w:lang w:val="en-US"/>
        </w:rPr>
        <w:t>Etex</w:t>
      </w:r>
      <w:proofErr w:type="spellEnd"/>
      <w:r w:rsidRPr="003841FD">
        <w:rPr>
          <w:b w:val="0"/>
          <w:szCs w:val="22"/>
          <w:lang w:val="en-US"/>
        </w:rPr>
        <w:t xml:space="preserve">), </w:t>
      </w:r>
      <w:proofErr w:type="spellStart"/>
      <w:r w:rsidRPr="003841FD">
        <w:rPr>
          <w:b w:val="0"/>
          <w:szCs w:val="22"/>
          <w:lang w:val="en-US"/>
        </w:rPr>
        <w:t>Matías</w:t>
      </w:r>
      <w:proofErr w:type="spellEnd"/>
      <w:r w:rsidRPr="003841FD">
        <w:rPr>
          <w:b w:val="0"/>
          <w:szCs w:val="22"/>
          <w:lang w:val="en-US"/>
        </w:rPr>
        <w:t xml:space="preserve"> </w:t>
      </w:r>
      <w:proofErr w:type="spellStart"/>
      <w:r w:rsidRPr="003841FD">
        <w:rPr>
          <w:b w:val="0"/>
          <w:szCs w:val="22"/>
          <w:lang w:val="en-US"/>
        </w:rPr>
        <w:t>Domeyco</w:t>
      </w:r>
      <w:proofErr w:type="spellEnd"/>
      <w:r w:rsidRPr="003841FD">
        <w:rPr>
          <w:b w:val="0"/>
          <w:szCs w:val="22"/>
          <w:lang w:val="en-US"/>
        </w:rPr>
        <w:t xml:space="preserve"> (</w:t>
      </w:r>
      <w:proofErr w:type="spellStart"/>
      <w:r w:rsidRPr="003841FD">
        <w:rPr>
          <w:b w:val="0"/>
          <w:szCs w:val="22"/>
          <w:lang w:val="en-US"/>
        </w:rPr>
        <w:t>Arauco</w:t>
      </w:r>
      <w:proofErr w:type="spellEnd"/>
      <w:r w:rsidRPr="003841FD">
        <w:rPr>
          <w:b w:val="0"/>
          <w:szCs w:val="22"/>
          <w:lang w:val="en-US"/>
        </w:rPr>
        <w:t xml:space="preserve">), </w:t>
      </w:r>
      <w:proofErr w:type="spellStart"/>
      <w:r w:rsidRPr="003841FD">
        <w:rPr>
          <w:b w:val="0"/>
          <w:szCs w:val="22"/>
          <w:lang w:val="en-US"/>
        </w:rPr>
        <w:t>Hansbert</w:t>
      </w:r>
      <w:proofErr w:type="spellEnd"/>
      <w:r w:rsidRPr="003841FD">
        <w:rPr>
          <w:b w:val="0"/>
          <w:szCs w:val="22"/>
          <w:lang w:val="en-US"/>
        </w:rPr>
        <w:t xml:space="preserve"> </w:t>
      </w:r>
      <w:proofErr w:type="spellStart"/>
      <w:r w:rsidRPr="003841FD">
        <w:rPr>
          <w:b w:val="0"/>
          <w:szCs w:val="22"/>
          <w:lang w:val="en-US"/>
        </w:rPr>
        <w:t>Ott</w:t>
      </w:r>
      <w:proofErr w:type="spellEnd"/>
      <w:r w:rsidRPr="003841FD">
        <w:rPr>
          <w:b w:val="0"/>
          <w:szCs w:val="22"/>
          <w:lang w:val="en-US"/>
        </w:rPr>
        <w:t xml:space="preserve"> (</w:t>
      </w:r>
      <w:proofErr w:type="spellStart"/>
      <w:r w:rsidRPr="003841FD">
        <w:rPr>
          <w:b w:val="0"/>
          <w:szCs w:val="22"/>
          <w:lang w:val="en-US"/>
        </w:rPr>
        <w:t>Weinmann</w:t>
      </w:r>
      <w:proofErr w:type="spellEnd"/>
      <w:r w:rsidRPr="003841FD">
        <w:rPr>
          <w:b w:val="0"/>
          <w:szCs w:val="22"/>
          <w:lang w:val="en-US"/>
        </w:rPr>
        <w:t xml:space="preserve">), </w:t>
      </w:r>
      <w:proofErr w:type="spellStart"/>
      <w:r w:rsidRPr="003841FD">
        <w:rPr>
          <w:b w:val="0"/>
          <w:szCs w:val="22"/>
          <w:lang w:val="en-US"/>
        </w:rPr>
        <w:t>Cristián</w:t>
      </w:r>
      <w:proofErr w:type="spellEnd"/>
      <w:r w:rsidRPr="003841FD">
        <w:rPr>
          <w:b w:val="0"/>
          <w:szCs w:val="22"/>
          <w:lang w:val="en-US"/>
        </w:rPr>
        <w:t xml:space="preserve"> Montes (E2E) Charles Kimber (</w:t>
      </w:r>
      <w:proofErr w:type="spellStart"/>
      <w:r w:rsidRPr="003841FD">
        <w:rPr>
          <w:b w:val="0"/>
          <w:szCs w:val="22"/>
          <w:lang w:val="en-US"/>
        </w:rPr>
        <w:t>Arauco</w:t>
      </w:r>
      <w:proofErr w:type="spellEnd"/>
      <w:r w:rsidRPr="003841FD">
        <w:rPr>
          <w:b w:val="0"/>
          <w:szCs w:val="22"/>
          <w:lang w:val="en-US"/>
        </w:rPr>
        <w:t>).</w:t>
      </w:r>
    </w:p>
    <w:p w14:paraId="6263926B" w14:textId="77777777" w:rsidR="003841FD" w:rsidRPr="003841FD" w:rsidRDefault="003841FD" w:rsidP="003841FD">
      <w:pPr>
        <w:ind w:right="-1134"/>
        <w:rPr>
          <w:lang w:val="en-US"/>
        </w:rPr>
      </w:pPr>
    </w:p>
    <w:p w14:paraId="5401780D" w14:textId="447F44E9" w:rsidR="003841FD" w:rsidRPr="005E0924" w:rsidRDefault="003841FD" w:rsidP="003841FD">
      <w:pPr>
        <w:pStyle w:val="Ttulo"/>
        <w:ind w:right="-1134"/>
        <w:rPr>
          <w:lang w:val="en-US"/>
        </w:rPr>
      </w:pPr>
      <w:r>
        <w:rPr>
          <w:noProof/>
          <w:lang w:val="pt-BR" w:eastAsia="pt-BR"/>
        </w:rPr>
        <w:drawing>
          <wp:inline distT="0" distB="0" distL="0" distR="0" wp14:anchorId="25F7D1EE" wp14:editId="248EFC6B">
            <wp:extent cx="2520000" cy="1551389"/>
            <wp:effectExtent l="0" t="0" r="0" b="0"/>
            <wp:docPr id="3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oto 04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551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/>
        </w:rPr>
        <w:br/>
        <w:t>Image 2</w:t>
      </w:r>
      <w:r w:rsidRPr="005E0924">
        <w:rPr>
          <w:lang w:val="en-US"/>
        </w:rPr>
        <w:t>:</w:t>
      </w:r>
    </w:p>
    <w:p w14:paraId="57676742" w14:textId="06090192" w:rsidR="003841FD" w:rsidRDefault="003841FD" w:rsidP="003841FD">
      <w:pPr>
        <w:pStyle w:val="Ttulo"/>
        <w:ind w:right="-1134"/>
        <w:rPr>
          <w:b w:val="0"/>
          <w:szCs w:val="22"/>
          <w:lang w:val="en-US"/>
        </w:rPr>
      </w:pPr>
      <w:r>
        <w:rPr>
          <w:b w:val="0"/>
          <w:szCs w:val="22"/>
          <w:lang w:val="en-US"/>
        </w:rPr>
        <w:t xml:space="preserve">From left to right: </w:t>
      </w:r>
      <w:proofErr w:type="spellStart"/>
      <w:r w:rsidRPr="003841FD">
        <w:rPr>
          <w:b w:val="0"/>
          <w:szCs w:val="22"/>
          <w:lang w:val="en-US"/>
        </w:rPr>
        <w:t>Hansbert</w:t>
      </w:r>
      <w:proofErr w:type="spellEnd"/>
      <w:r w:rsidRPr="003841FD">
        <w:rPr>
          <w:b w:val="0"/>
          <w:szCs w:val="22"/>
          <w:lang w:val="en-US"/>
        </w:rPr>
        <w:t xml:space="preserve"> </w:t>
      </w:r>
      <w:proofErr w:type="spellStart"/>
      <w:r w:rsidRPr="003841FD">
        <w:rPr>
          <w:b w:val="0"/>
          <w:szCs w:val="22"/>
          <w:lang w:val="en-US"/>
        </w:rPr>
        <w:t>Ott</w:t>
      </w:r>
      <w:proofErr w:type="spellEnd"/>
      <w:r>
        <w:rPr>
          <w:b w:val="0"/>
          <w:szCs w:val="22"/>
          <w:lang w:val="en-US"/>
        </w:rPr>
        <w:t xml:space="preserve"> (</w:t>
      </w:r>
      <w:r w:rsidRPr="003841FD">
        <w:rPr>
          <w:b w:val="0"/>
          <w:szCs w:val="22"/>
          <w:lang w:val="en-US"/>
        </w:rPr>
        <w:t>Managing Director of WEINMANN</w:t>
      </w:r>
      <w:r>
        <w:rPr>
          <w:b w:val="0"/>
          <w:szCs w:val="22"/>
          <w:lang w:val="en-US"/>
        </w:rPr>
        <w:t xml:space="preserve">), </w:t>
      </w:r>
      <w:r w:rsidRPr="003841FD">
        <w:rPr>
          <w:b w:val="0"/>
          <w:szCs w:val="22"/>
          <w:lang w:val="en-US"/>
        </w:rPr>
        <w:t>Felipe Montes</w:t>
      </w:r>
      <w:r>
        <w:rPr>
          <w:b w:val="0"/>
          <w:szCs w:val="22"/>
          <w:lang w:val="en-US"/>
        </w:rPr>
        <w:t xml:space="preserve"> (</w:t>
      </w:r>
      <w:r w:rsidRPr="003841FD">
        <w:rPr>
          <w:b w:val="0"/>
          <w:szCs w:val="22"/>
          <w:lang w:val="en-US"/>
        </w:rPr>
        <w:t>Managing Director of E2E</w:t>
      </w:r>
      <w:r>
        <w:rPr>
          <w:b w:val="0"/>
          <w:szCs w:val="22"/>
          <w:lang w:val="en-US"/>
        </w:rPr>
        <w:t xml:space="preserve">), </w:t>
      </w:r>
      <w:r w:rsidRPr="003841FD">
        <w:rPr>
          <w:b w:val="0"/>
          <w:szCs w:val="22"/>
          <w:lang w:val="en-US"/>
        </w:rPr>
        <w:t xml:space="preserve">Jorge Panjkovich </w:t>
      </w:r>
      <w:r>
        <w:rPr>
          <w:b w:val="0"/>
          <w:szCs w:val="22"/>
          <w:lang w:val="en-US"/>
        </w:rPr>
        <w:t>(</w:t>
      </w:r>
      <w:r w:rsidRPr="003841FD">
        <w:rPr>
          <w:b w:val="0"/>
          <w:szCs w:val="22"/>
          <w:lang w:val="en-US"/>
        </w:rPr>
        <w:t>Managing Director of Limaq</w:t>
      </w:r>
      <w:r>
        <w:rPr>
          <w:b w:val="0"/>
          <w:szCs w:val="22"/>
          <w:lang w:val="en-US"/>
        </w:rPr>
        <w:t>)</w:t>
      </w:r>
    </w:p>
    <w:p w14:paraId="228DFEA1" w14:textId="6EC16FC8" w:rsidR="003841FD" w:rsidRDefault="003841FD" w:rsidP="003841FD">
      <w:pPr>
        <w:ind w:right="-1134"/>
        <w:rPr>
          <w:lang w:val="en-US"/>
        </w:rPr>
      </w:pPr>
    </w:p>
    <w:p w14:paraId="4834CCB5" w14:textId="07B67BDB" w:rsidR="003841FD" w:rsidRPr="005E0924" w:rsidRDefault="003841FD" w:rsidP="003841FD">
      <w:pPr>
        <w:pStyle w:val="Ttulo"/>
        <w:ind w:right="-1134"/>
        <w:rPr>
          <w:lang w:val="en-US"/>
        </w:rPr>
      </w:pPr>
      <w:r>
        <w:rPr>
          <w:noProof/>
          <w:lang w:val="pt-BR" w:eastAsia="pt-BR"/>
        </w:rPr>
        <w:drawing>
          <wp:inline distT="0" distB="0" distL="0" distR="0" wp14:anchorId="29574CCA" wp14:editId="53B2FF3C">
            <wp:extent cx="2520000" cy="1988333"/>
            <wp:effectExtent l="0" t="0" r="0" b="0"/>
            <wp:docPr id="4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oto 02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988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/>
        </w:rPr>
        <w:br/>
        <w:t>Image 3</w:t>
      </w:r>
      <w:r w:rsidRPr="005E0924">
        <w:rPr>
          <w:lang w:val="en-US"/>
        </w:rPr>
        <w:t>:</w:t>
      </w:r>
    </w:p>
    <w:p w14:paraId="7E4FC14F" w14:textId="4AE28E1F" w:rsidR="00481597" w:rsidRPr="003841FD" w:rsidRDefault="003841FD" w:rsidP="003841FD">
      <w:pPr>
        <w:pStyle w:val="Ttulo"/>
        <w:ind w:right="-1134"/>
        <w:rPr>
          <w:b w:val="0"/>
          <w:szCs w:val="22"/>
          <w:lang w:val="en-US"/>
        </w:rPr>
      </w:pPr>
      <w:proofErr w:type="spellStart"/>
      <w:r w:rsidRPr="003841FD">
        <w:rPr>
          <w:b w:val="0"/>
          <w:szCs w:val="22"/>
          <w:lang w:val="en-US"/>
        </w:rPr>
        <w:t>Hansbert</w:t>
      </w:r>
      <w:proofErr w:type="spellEnd"/>
      <w:r w:rsidRPr="003841FD">
        <w:rPr>
          <w:b w:val="0"/>
          <w:szCs w:val="22"/>
          <w:lang w:val="en-US"/>
        </w:rPr>
        <w:t xml:space="preserve"> </w:t>
      </w:r>
      <w:proofErr w:type="spellStart"/>
      <w:r w:rsidRPr="003841FD">
        <w:rPr>
          <w:b w:val="0"/>
          <w:szCs w:val="22"/>
          <w:lang w:val="en-US"/>
        </w:rPr>
        <w:t>Ott</w:t>
      </w:r>
      <w:proofErr w:type="spellEnd"/>
      <w:r>
        <w:rPr>
          <w:b w:val="0"/>
          <w:szCs w:val="22"/>
          <w:lang w:val="en-US"/>
        </w:rPr>
        <w:t xml:space="preserve"> (</w:t>
      </w:r>
      <w:r w:rsidRPr="003841FD">
        <w:rPr>
          <w:b w:val="0"/>
          <w:szCs w:val="22"/>
          <w:lang w:val="en-US"/>
        </w:rPr>
        <w:t>Managing Director of WEINMANN</w:t>
      </w:r>
      <w:r>
        <w:rPr>
          <w:b w:val="0"/>
          <w:szCs w:val="22"/>
          <w:lang w:val="en-US"/>
        </w:rPr>
        <w:t xml:space="preserve">) and </w:t>
      </w:r>
      <w:r w:rsidRPr="003841FD">
        <w:rPr>
          <w:b w:val="0"/>
          <w:szCs w:val="22"/>
          <w:lang w:val="en-US"/>
        </w:rPr>
        <w:t>Felipe Montes</w:t>
      </w:r>
      <w:r>
        <w:rPr>
          <w:b w:val="0"/>
          <w:szCs w:val="22"/>
          <w:lang w:val="en-US"/>
        </w:rPr>
        <w:t xml:space="preserve"> (</w:t>
      </w:r>
      <w:r w:rsidRPr="003841FD">
        <w:rPr>
          <w:b w:val="0"/>
          <w:szCs w:val="22"/>
          <w:lang w:val="en-US"/>
        </w:rPr>
        <w:t>Managing Director of E2E</w:t>
      </w:r>
      <w:r>
        <w:rPr>
          <w:b w:val="0"/>
          <w:szCs w:val="22"/>
          <w:lang w:val="en-US"/>
        </w:rPr>
        <w:t>)</w:t>
      </w:r>
    </w:p>
    <w:sectPr w:rsidR="00481597" w:rsidRPr="003841FD" w:rsidSect="007D4E3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endnotePr>
        <w:numFmt w:val="decimal"/>
      </w:endnotePr>
      <w:pgSz w:w="11907" w:h="16840"/>
      <w:pgMar w:top="2268" w:right="2268" w:bottom="1134" w:left="1134" w:header="567" w:footer="720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ABBCA0" w14:textId="77777777" w:rsidR="00377C3B" w:rsidRDefault="00377C3B">
      <w:r>
        <w:separator/>
      </w:r>
    </w:p>
  </w:endnote>
  <w:endnote w:type="continuationSeparator" w:id="0">
    <w:p w14:paraId="7CD842D1" w14:textId="77777777" w:rsidR="00377C3B" w:rsidRDefault="00377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25751" w14:textId="77777777" w:rsidR="007D4E31" w:rsidRDefault="007D4E3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4FC15D" w14:textId="77777777" w:rsidR="0054012D" w:rsidRDefault="0054012D">
    <w:pPr>
      <w:pStyle w:val="Rodap"/>
      <w:widowControl/>
      <w:rPr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001676" w14:textId="77777777" w:rsidR="007D4E31" w:rsidRDefault="007D4E3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829A30" w14:textId="77777777" w:rsidR="00377C3B" w:rsidRDefault="00377C3B">
      <w:r>
        <w:separator/>
      </w:r>
    </w:p>
  </w:footnote>
  <w:footnote w:type="continuationSeparator" w:id="0">
    <w:p w14:paraId="2AF3F8D9" w14:textId="77777777" w:rsidR="00377C3B" w:rsidRDefault="00377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CB752" w14:textId="77777777" w:rsidR="007D4E31" w:rsidRDefault="007D4E31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4FC155" w14:textId="77777777" w:rsidR="0054012D" w:rsidRDefault="0054012D" w:rsidP="001C1F3B">
    <w:pPr>
      <w:pStyle w:val="Cabealho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 w:rsidRPr="00D743CB">
      <w:rPr>
        <w:sz w:val="32"/>
      </w:rPr>
      <w:t>Press</w:t>
    </w:r>
    <w:r w:rsidR="005E0924">
      <w:rPr>
        <w:sz w:val="32"/>
      </w:rPr>
      <w:t xml:space="preserve"> Release</w:t>
    </w:r>
    <w:r>
      <w:rPr>
        <w:b/>
        <w:sz w:val="28"/>
      </w:rPr>
      <w:tab/>
    </w:r>
    <w:r w:rsidR="00341AB8">
      <w:rPr>
        <w:noProof/>
        <w:lang w:val="pt-BR" w:eastAsia="pt-BR"/>
      </w:rPr>
      <w:drawing>
        <wp:inline distT="0" distB="0" distL="0" distR="0" wp14:anchorId="7E4FC160" wp14:editId="7E4FC161">
          <wp:extent cx="2289053" cy="252985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EINMANN_Logo_4C-P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9053" cy="252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7E4FC15A" w14:textId="77777777" w:rsidTr="00C74CDC">
      <w:tc>
        <w:tcPr>
          <w:tcW w:w="3402" w:type="dxa"/>
        </w:tcPr>
        <w:p w14:paraId="7E4FC156" w14:textId="3C4851D1" w:rsidR="00C74CDC" w:rsidRDefault="003841FD" w:rsidP="00913173">
          <w:pPr>
            <w:pStyle w:val="Cabealho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>E2E – Chile</w:t>
          </w:r>
        </w:p>
        <w:p w14:paraId="7E4FC157" w14:textId="77777777" w:rsidR="00C74CDC" w:rsidRDefault="00C74CDC" w:rsidP="00913173">
          <w:pPr>
            <w:pStyle w:val="Cabealho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7E4FC158" w14:textId="3E234F02" w:rsidR="00C74CDC" w:rsidRDefault="007D4E31" w:rsidP="00913173">
          <w:pPr>
            <w:pStyle w:val="Cabealho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>Página</w:t>
          </w:r>
          <w:r w:rsidR="00C74CDC">
            <w:rPr>
              <w:sz w:val="18"/>
            </w:rPr>
            <w:t xml:space="preserve">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8A690C">
            <w:rPr>
              <w:noProof/>
              <w:sz w:val="18"/>
            </w:rPr>
            <w:t>4</w:t>
          </w:r>
          <w:r w:rsidR="00C74CDC">
            <w:rPr>
              <w:sz w:val="18"/>
            </w:rPr>
            <w:fldChar w:fldCharType="end"/>
          </w:r>
          <w:r w:rsidR="00C74CDC"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8A690C">
            <w:rPr>
              <w:noProof/>
              <w:sz w:val="18"/>
            </w:rPr>
            <w:t>4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7E4FC159" w14:textId="13A0D5B7" w:rsidR="00C74CDC" w:rsidRDefault="00C74CDC" w:rsidP="007D4E31">
          <w:pPr>
            <w:pStyle w:val="Cabealho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r w:rsidR="007D4E31">
            <w:rPr>
              <w:sz w:val="18"/>
            </w:rPr>
            <w:t>Outubro</w:t>
          </w:r>
          <w:r>
            <w:rPr>
              <w:sz w:val="18"/>
            </w:rPr>
            <w:t xml:space="preserve"> 201</w:t>
          </w:r>
          <w:r w:rsidR="00F53D1F">
            <w:rPr>
              <w:sz w:val="18"/>
            </w:rPr>
            <w:t>9</w:t>
          </w:r>
        </w:p>
      </w:tc>
    </w:tr>
  </w:tbl>
  <w:p w14:paraId="7E4FC15B" w14:textId="77777777" w:rsidR="0054012D" w:rsidRPr="00F2656D" w:rsidRDefault="0054012D">
    <w:pPr>
      <w:pStyle w:val="Cabealho"/>
      <w:widowControl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1CC6D" w14:textId="77777777" w:rsidR="007D4E31" w:rsidRDefault="007D4E3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5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6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0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4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6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7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1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2"/>
  </w:num>
  <w:num w:numId="3">
    <w:abstractNumId w:val="13"/>
  </w:num>
  <w:num w:numId="4">
    <w:abstractNumId w:val="8"/>
  </w:num>
  <w:num w:numId="5">
    <w:abstractNumId w:val="24"/>
  </w:num>
  <w:num w:numId="6">
    <w:abstractNumId w:val="15"/>
  </w:num>
  <w:num w:numId="7">
    <w:abstractNumId w:val="16"/>
  </w:num>
  <w:num w:numId="8">
    <w:abstractNumId w:val="19"/>
  </w:num>
  <w:num w:numId="9">
    <w:abstractNumId w:val="20"/>
  </w:num>
  <w:num w:numId="10">
    <w:abstractNumId w:val="25"/>
  </w:num>
  <w:num w:numId="11">
    <w:abstractNumId w:val="23"/>
  </w:num>
  <w:num w:numId="12">
    <w:abstractNumId w:val="4"/>
  </w:num>
  <w:num w:numId="13">
    <w:abstractNumId w:val="17"/>
  </w:num>
  <w:num w:numId="14">
    <w:abstractNumId w:val="6"/>
  </w:num>
  <w:num w:numId="15">
    <w:abstractNumId w:val="5"/>
  </w:num>
  <w:num w:numId="16">
    <w:abstractNumId w:val="7"/>
  </w:num>
  <w:num w:numId="17">
    <w:abstractNumId w:val="26"/>
  </w:num>
  <w:num w:numId="18">
    <w:abstractNumId w:val="14"/>
  </w:num>
  <w:num w:numId="19">
    <w:abstractNumId w:val="27"/>
  </w:num>
  <w:num w:numId="20">
    <w:abstractNumId w:val="22"/>
  </w:num>
  <w:num w:numId="21">
    <w:abstractNumId w:val="30"/>
  </w:num>
  <w:num w:numId="22">
    <w:abstractNumId w:val="3"/>
  </w:num>
  <w:num w:numId="23">
    <w:abstractNumId w:val="9"/>
  </w:num>
  <w:num w:numId="24">
    <w:abstractNumId w:val="11"/>
  </w:num>
  <w:num w:numId="25">
    <w:abstractNumId w:val="31"/>
  </w:num>
  <w:num w:numId="26">
    <w:abstractNumId w:val="12"/>
  </w:num>
  <w:num w:numId="27">
    <w:abstractNumId w:val="21"/>
  </w:num>
  <w:num w:numId="28">
    <w:abstractNumId w:val="2"/>
  </w:num>
  <w:num w:numId="29">
    <w:abstractNumId w:val="18"/>
  </w:num>
  <w:num w:numId="30">
    <w:abstractNumId w:val="1"/>
  </w:num>
  <w:num w:numId="31">
    <w:abstractNumId w:val="33"/>
  </w:num>
  <w:num w:numId="32">
    <w:abstractNumId w:val="28"/>
  </w:num>
  <w:num w:numId="33">
    <w:abstractNumId w:val="29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C0"/>
    <w:rsid w:val="00001DFB"/>
    <w:rsid w:val="0001030D"/>
    <w:rsid w:val="00010C96"/>
    <w:rsid w:val="00024EE9"/>
    <w:rsid w:val="000471D4"/>
    <w:rsid w:val="000626D3"/>
    <w:rsid w:val="00064DE4"/>
    <w:rsid w:val="00070D5B"/>
    <w:rsid w:val="00080779"/>
    <w:rsid w:val="00087568"/>
    <w:rsid w:val="000B40DB"/>
    <w:rsid w:val="000D1074"/>
    <w:rsid w:val="000D5284"/>
    <w:rsid w:val="000E13E2"/>
    <w:rsid w:val="000E66EC"/>
    <w:rsid w:val="001009AB"/>
    <w:rsid w:val="00100A39"/>
    <w:rsid w:val="00106960"/>
    <w:rsid w:val="001133A3"/>
    <w:rsid w:val="001234BA"/>
    <w:rsid w:val="001346DA"/>
    <w:rsid w:val="001379FB"/>
    <w:rsid w:val="00144DE4"/>
    <w:rsid w:val="001544C1"/>
    <w:rsid w:val="00171A90"/>
    <w:rsid w:val="00181328"/>
    <w:rsid w:val="00191B7B"/>
    <w:rsid w:val="00197C90"/>
    <w:rsid w:val="001A6C44"/>
    <w:rsid w:val="001A7968"/>
    <w:rsid w:val="001B0CDC"/>
    <w:rsid w:val="001C1F3B"/>
    <w:rsid w:val="001C3917"/>
    <w:rsid w:val="001D7A81"/>
    <w:rsid w:val="001E501D"/>
    <w:rsid w:val="001F5F23"/>
    <w:rsid w:val="001F6AB9"/>
    <w:rsid w:val="00213A46"/>
    <w:rsid w:val="00216428"/>
    <w:rsid w:val="0022697A"/>
    <w:rsid w:val="002560A1"/>
    <w:rsid w:val="00257269"/>
    <w:rsid w:val="00262EF5"/>
    <w:rsid w:val="00272217"/>
    <w:rsid w:val="00274D1F"/>
    <w:rsid w:val="00275BDC"/>
    <w:rsid w:val="00276C42"/>
    <w:rsid w:val="002A19F6"/>
    <w:rsid w:val="002A3035"/>
    <w:rsid w:val="002A557A"/>
    <w:rsid w:val="003014A3"/>
    <w:rsid w:val="00306F18"/>
    <w:rsid w:val="00320DFB"/>
    <w:rsid w:val="00321923"/>
    <w:rsid w:val="003220C3"/>
    <w:rsid w:val="00341AB8"/>
    <w:rsid w:val="00346010"/>
    <w:rsid w:val="003463D1"/>
    <w:rsid w:val="00351017"/>
    <w:rsid w:val="00367548"/>
    <w:rsid w:val="00377C3B"/>
    <w:rsid w:val="003804F3"/>
    <w:rsid w:val="003841FD"/>
    <w:rsid w:val="003A0D46"/>
    <w:rsid w:val="003A464D"/>
    <w:rsid w:val="003D6FB3"/>
    <w:rsid w:val="003E1736"/>
    <w:rsid w:val="003E3908"/>
    <w:rsid w:val="00401216"/>
    <w:rsid w:val="00415721"/>
    <w:rsid w:val="004401F4"/>
    <w:rsid w:val="004407DC"/>
    <w:rsid w:val="00443069"/>
    <w:rsid w:val="00445EF9"/>
    <w:rsid w:val="004605F6"/>
    <w:rsid w:val="0046535F"/>
    <w:rsid w:val="00481597"/>
    <w:rsid w:val="004817FB"/>
    <w:rsid w:val="004A2787"/>
    <w:rsid w:val="004B1435"/>
    <w:rsid w:val="00513A4B"/>
    <w:rsid w:val="00520897"/>
    <w:rsid w:val="00537C82"/>
    <w:rsid w:val="0054012D"/>
    <w:rsid w:val="005475DE"/>
    <w:rsid w:val="00547750"/>
    <w:rsid w:val="00570C27"/>
    <w:rsid w:val="00570F4C"/>
    <w:rsid w:val="0058077E"/>
    <w:rsid w:val="0058611D"/>
    <w:rsid w:val="0058634F"/>
    <w:rsid w:val="005A5380"/>
    <w:rsid w:val="005C623C"/>
    <w:rsid w:val="005D59E6"/>
    <w:rsid w:val="005E0924"/>
    <w:rsid w:val="005F022F"/>
    <w:rsid w:val="005F3F60"/>
    <w:rsid w:val="006143F9"/>
    <w:rsid w:val="00623204"/>
    <w:rsid w:val="0066716B"/>
    <w:rsid w:val="00697D14"/>
    <w:rsid w:val="006C15C6"/>
    <w:rsid w:val="006D5941"/>
    <w:rsid w:val="006E1BAA"/>
    <w:rsid w:val="006F1125"/>
    <w:rsid w:val="0070039B"/>
    <w:rsid w:val="007143F9"/>
    <w:rsid w:val="00735FDB"/>
    <w:rsid w:val="00737128"/>
    <w:rsid w:val="00742CE2"/>
    <w:rsid w:val="00747D17"/>
    <w:rsid w:val="0076147E"/>
    <w:rsid w:val="00772ED8"/>
    <w:rsid w:val="00774ABF"/>
    <w:rsid w:val="0079664A"/>
    <w:rsid w:val="007A4EF3"/>
    <w:rsid w:val="007B0121"/>
    <w:rsid w:val="007D4E31"/>
    <w:rsid w:val="007F0D37"/>
    <w:rsid w:val="007F727D"/>
    <w:rsid w:val="007F7E9B"/>
    <w:rsid w:val="008030A6"/>
    <w:rsid w:val="008051FD"/>
    <w:rsid w:val="00807C59"/>
    <w:rsid w:val="008250FF"/>
    <w:rsid w:val="008461E1"/>
    <w:rsid w:val="008547A0"/>
    <w:rsid w:val="00891766"/>
    <w:rsid w:val="008A690C"/>
    <w:rsid w:val="008B07C0"/>
    <w:rsid w:val="008C0447"/>
    <w:rsid w:val="009051A1"/>
    <w:rsid w:val="009178FE"/>
    <w:rsid w:val="00920D02"/>
    <w:rsid w:val="0093011B"/>
    <w:rsid w:val="009368F5"/>
    <w:rsid w:val="00944CAE"/>
    <w:rsid w:val="009479AC"/>
    <w:rsid w:val="0097733B"/>
    <w:rsid w:val="009A1B07"/>
    <w:rsid w:val="009A4FA6"/>
    <w:rsid w:val="009C58AA"/>
    <w:rsid w:val="009C73C6"/>
    <w:rsid w:val="009D5F7A"/>
    <w:rsid w:val="009E15B5"/>
    <w:rsid w:val="009E1B64"/>
    <w:rsid w:val="009F50FD"/>
    <w:rsid w:val="00A04D46"/>
    <w:rsid w:val="00A13CD6"/>
    <w:rsid w:val="00A15C08"/>
    <w:rsid w:val="00A16171"/>
    <w:rsid w:val="00A24BCC"/>
    <w:rsid w:val="00A5108C"/>
    <w:rsid w:val="00A7235B"/>
    <w:rsid w:val="00A73AAF"/>
    <w:rsid w:val="00A9766B"/>
    <w:rsid w:val="00AA3FF1"/>
    <w:rsid w:val="00AB73AA"/>
    <w:rsid w:val="00AC0A7D"/>
    <w:rsid w:val="00AD69E4"/>
    <w:rsid w:val="00AD7894"/>
    <w:rsid w:val="00AE370B"/>
    <w:rsid w:val="00AE3F08"/>
    <w:rsid w:val="00AF3D8F"/>
    <w:rsid w:val="00B0470F"/>
    <w:rsid w:val="00B10596"/>
    <w:rsid w:val="00B16A61"/>
    <w:rsid w:val="00B30F66"/>
    <w:rsid w:val="00B42D2F"/>
    <w:rsid w:val="00B431A0"/>
    <w:rsid w:val="00B47E74"/>
    <w:rsid w:val="00B541B8"/>
    <w:rsid w:val="00B57FAC"/>
    <w:rsid w:val="00B74DE5"/>
    <w:rsid w:val="00B8324A"/>
    <w:rsid w:val="00BA3C3F"/>
    <w:rsid w:val="00BC229D"/>
    <w:rsid w:val="00BF1F0F"/>
    <w:rsid w:val="00BF46E5"/>
    <w:rsid w:val="00BF5A37"/>
    <w:rsid w:val="00C10053"/>
    <w:rsid w:val="00C17557"/>
    <w:rsid w:val="00C45AD8"/>
    <w:rsid w:val="00C60AA7"/>
    <w:rsid w:val="00C61C2E"/>
    <w:rsid w:val="00C61E6B"/>
    <w:rsid w:val="00C64040"/>
    <w:rsid w:val="00C65530"/>
    <w:rsid w:val="00C74CDC"/>
    <w:rsid w:val="00C75D10"/>
    <w:rsid w:val="00C96136"/>
    <w:rsid w:val="00CA00A9"/>
    <w:rsid w:val="00CB1588"/>
    <w:rsid w:val="00CD1E96"/>
    <w:rsid w:val="00CF622D"/>
    <w:rsid w:val="00D0150A"/>
    <w:rsid w:val="00D043C0"/>
    <w:rsid w:val="00D05F12"/>
    <w:rsid w:val="00D071E6"/>
    <w:rsid w:val="00D113BA"/>
    <w:rsid w:val="00D322E6"/>
    <w:rsid w:val="00D40674"/>
    <w:rsid w:val="00D50588"/>
    <w:rsid w:val="00D6302F"/>
    <w:rsid w:val="00D65A21"/>
    <w:rsid w:val="00D70851"/>
    <w:rsid w:val="00D72330"/>
    <w:rsid w:val="00D743CB"/>
    <w:rsid w:val="00D915A1"/>
    <w:rsid w:val="00DA3508"/>
    <w:rsid w:val="00DA7ADD"/>
    <w:rsid w:val="00DD063D"/>
    <w:rsid w:val="00DE114A"/>
    <w:rsid w:val="00DF2A9D"/>
    <w:rsid w:val="00E16955"/>
    <w:rsid w:val="00E24340"/>
    <w:rsid w:val="00E36539"/>
    <w:rsid w:val="00E471E2"/>
    <w:rsid w:val="00E4780C"/>
    <w:rsid w:val="00E54363"/>
    <w:rsid w:val="00E7070B"/>
    <w:rsid w:val="00E93B4F"/>
    <w:rsid w:val="00EA2406"/>
    <w:rsid w:val="00EA2EAC"/>
    <w:rsid w:val="00EA3D1C"/>
    <w:rsid w:val="00EA6393"/>
    <w:rsid w:val="00EE5B89"/>
    <w:rsid w:val="00F05208"/>
    <w:rsid w:val="00F06CA2"/>
    <w:rsid w:val="00F12542"/>
    <w:rsid w:val="00F23A94"/>
    <w:rsid w:val="00F2656D"/>
    <w:rsid w:val="00F26FBF"/>
    <w:rsid w:val="00F314D7"/>
    <w:rsid w:val="00F53D1F"/>
    <w:rsid w:val="00F62BC5"/>
    <w:rsid w:val="00F73A4F"/>
    <w:rsid w:val="00F8560C"/>
    <w:rsid w:val="00FA23C1"/>
    <w:rsid w:val="00FB6D7C"/>
    <w:rsid w:val="00FC3C73"/>
    <w:rsid w:val="00FE18D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4FC122"/>
  <w15:docId w15:val="{9FEBDB5F-E1DB-4295-A702-E23AFF3EA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Ttulo1">
    <w:name w:val="heading 1"/>
    <w:aliases w:val="Big Headline"/>
    <w:basedOn w:val="Normal"/>
    <w:next w:val="Normal"/>
    <w:qFormat/>
    <w:rsid w:val="00F62BC5"/>
    <w:pPr>
      <w:spacing w:after="360"/>
      <w:outlineLvl w:val="0"/>
    </w:pPr>
    <w:rPr>
      <w:b/>
      <w:color w:val="00A0DC" w:themeColor="background2"/>
      <w:sz w:val="32"/>
    </w:rPr>
  </w:style>
  <w:style w:type="paragraph" w:styleId="Ttulo2">
    <w:name w:val="heading 2"/>
    <w:aliases w:val="Sub-Headline"/>
    <w:basedOn w:val="Normal"/>
    <w:next w:val="Normal"/>
    <w:qFormat/>
    <w:rsid w:val="00F62BC5"/>
    <w:pPr>
      <w:spacing w:before="600"/>
      <w:outlineLvl w:val="1"/>
    </w:pPr>
    <w:rPr>
      <w:b/>
      <w:color w:val="001941" w:themeColor="text2"/>
      <w:sz w:val="24"/>
    </w:rPr>
  </w:style>
  <w:style w:type="paragraph" w:styleId="Ttulo3">
    <w:name w:val="heading 3"/>
    <w:aliases w:val="Small Headline above Big Headline"/>
    <w:basedOn w:val="Normal"/>
    <w:next w:val="Normal"/>
    <w:qFormat/>
    <w:rsid w:val="00EA2EAC"/>
    <w:pPr>
      <w:spacing w:before="240"/>
      <w:outlineLvl w:val="2"/>
    </w:pPr>
    <w:rPr>
      <w:b/>
      <w:color w:val="001941" w:themeColor="text2"/>
    </w:rPr>
  </w:style>
  <w:style w:type="paragraph" w:styleId="Ttulo4">
    <w:name w:val="heading 4"/>
    <w:basedOn w:val="Normal"/>
    <w:next w:val="Normal"/>
    <w:pPr>
      <w:spacing w:before="120"/>
      <w:outlineLvl w:val="3"/>
    </w:pPr>
  </w:style>
  <w:style w:type="paragraph" w:styleId="Ttulo5">
    <w:name w:val="heading 5"/>
    <w:basedOn w:val="Normal"/>
    <w:next w:val="Normal"/>
    <w:pPr>
      <w:spacing w:before="240"/>
      <w:outlineLvl w:val="4"/>
    </w:pPr>
  </w:style>
  <w:style w:type="paragraph" w:styleId="Ttulo6">
    <w:name w:val="heading 6"/>
    <w:basedOn w:val="Normal"/>
    <w:next w:val="Normal"/>
    <w:pPr>
      <w:spacing w:before="240"/>
      <w:outlineLvl w:val="5"/>
    </w:pPr>
    <w:rPr>
      <w:i/>
    </w:rPr>
  </w:style>
  <w:style w:type="paragraph" w:styleId="Ttulo7">
    <w:name w:val="heading 7"/>
    <w:basedOn w:val="Normal"/>
    <w:next w:val="Normal"/>
    <w:pPr>
      <w:spacing w:before="240"/>
      <w:outlineLvl w:val="6"/>
    </w:pPr>
    <w:rPr>
      <w:sz w:val="20"/>
    </w:rPr>
  </w:style>
  <w:style w:type="paragraph" w:styleId="Ttulo8">
    <w:name w:val="heading 8"/>
    <w:basedOn w:val="Normal"/>
    <w:next w:val="Normal"/>
    <w:pPr>
      <w:spacing w:before="240"/>
      <w:outlineLvl w:val="7"/>
    </w:pPr>
    <w:rPr>
      <w:i/>
      <w:sz w:val="20"/>
    </w:rPr>
  </w:style>
  <w:style w:type="paragraph" w:styleId="Ttulo9">
    <w:name w:val="heading 9"/>
    <w:basedOn w:val="Normal"/>
    <w:next w:val="Normal"/>
    <w:pPr>
      <w:spacing w:line="240" w:lineRule="atLeast"/>
      <w:outlineLvl w:val="8"/>
    </w:pPr>
    <w:rPr>
      <w:rFonts w:ascii="Times New Roman" w:hAnsi="Times New Roman"/>
      <w:sz w:val="2"/>
      <w:lang w:val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left" w:pos="1418"/>
        <w:tab w:val="left" w:pos="1560"/>
        <w:tab w:val="right" w:pos="9072"/>
      </w:tabs>
    </w:pPr>
  </w:style>
  <w:style w:type="paragraph" w:styleId="Rodap">
    <w:name w:val="footer"/>
    <w:basedOn w:val="Normal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Sumrio1">
    <w:name w:val="toc 1"/>
    <w:basedOn w:val="Normal"/>
    <w:next w:val="Normal"/>
    <w:semiHidden/>
    <w:pPr>
      <w:tabs>
        <w:tab w:val="right" w:leader="dot" w:pos="9639"/>
      </w:tabs>
      <w:spacing w:before="120"/>
    </w:pPr>
    <w:rPr>
      <w:b/>
    </w:rPr>
  </w:style>
  <w:style w:type="paragraph" w:styleId="Sumrio2">
    <w:name w:val="toc 2"/>
    <w:basedOn w:val="Normal"/>
    <w:next w:val="Normal"/>
    <w:semiHidden/>
    <w:pPr>
      <w:tabs>
        <w:tab w:val="right" w:leader="dot" w:pos="9639"/>
      </w:tabs>
      <w:ind w:left="238"/>
    </w:pPr>
  </w:style>
  <w:style w:type="paragraph" w:styleId="Sumrio3">
    <w:name w:val="toc 3"/>
    <w:basedOn w:val="Normal"/>
    <w:next w:val="Normal"/>
    <w:semiHidden/>
    <w:pPr>
      <w:tabs>
        <w:tab w:val="right" w:leader="dot" w:pos="9639"/>
      </w:tabs>
      <w:ind w:left="482"/>
    </w:pPr>
  </w:style>
  <w:style w:type="paragraph" w:styleId="Sumrio4">
    <w:name w:val="toc 4"/>
    <w:basedOn w:val="Normal"/>
    <w:next w:val="Normal"/>
    <w:semiHidden/>
    <w:pPr>
      <w:tabs>
        <w:tab w:val="right" w:leader="dot" w:pos="9639"/>
      </w:tabs>
      <w:ind w:left="720"/>
    </w:pPr>
  </w:style>
  <w:style w:type="paragraph" w:styleId="Sumrio5">
    <w:name w:val="toc 5"/>
    <w:basedOn w:val="Normal"/>
    <w:next w:val="Normal"/>
    <w:semiHidden/>
    <w:pPr>
      <w:tabs>
        <w:tab w:val="right" w:leader="dot" w:pos="9639"/>
      </w:tabs>
      <w:ind w:left="958"/>
    </w:pPr>
  </w:style>
  <w:style w:type="paragraph" w:styleId="Sumrio6">
    <w:name w:val="toc 6"/>
    <w:basedOn w:val="Normal"/>
    <w:next w:val="Normal"/>
    <w:semiHidden/>
    <w:pPr>
      <w:tabs>
        <w:tab w:val="right" w:leader="dot" w:pos="9639"/>
      </w:tabs>
      <w:ind w:left="1200"/>
    </w:pPr>
  </w:style>
  <w:style w:type="paragraph" w:styleId="Sumrio7">
    <w:name w:val="toc 7"/>
    <w:basedOn w:val="Normal"/>
    <w:next w:val="Normal"/>
    <w:semiHidden/>
    <w:pPr>
      <w:tabs>
        <w:tab w:val="right" w:leader="dot" w:pos="9639"/>
      </w:tabs>
      <w:ind w:left="1440"/>
    </w:pPr>
  </w:style>
  <w:style w:type="paragraph" w:styleId="Sumrio8">
    <w:name w:val="toc 8"/>
    <w:basedOn w:val="Normal"/>
    <w:next w:val="Normal"/>
    <w:semiHidden/>
    <w:pPr>
      <w:tabs>
        <w:tab w:val="right" w:leader="dot" w:pos="9639"/>
      </w:tabs>
      <w:ind w:left="1680"/>
    </w:pPr>
  </w:style>
  <w:style w:type="paragraph" w:styleId="Sumrio9">
    <w:name w:val="toc 9"/>
    <w:basedOn w:val="Normal"/>
    <w:next w:val="Normal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Normal"/>
    <w:next w:val="Normal"/>
    <w:rPr>
      <w:b/>
      <w:sz w:val="28"/>
    </w:rPr>
  </w:style>
  <w:style w:type="paragraph" w:customStyle="1" w:styleId="Standard-Einzug">
    <w:name w:val="Standard-Einzug"/>
    <w:basedOn w:val="Normal"/>
    <w:pPr>
      <w:ind w:left="709"/>
    </w:pPr>
  </w:style>
  <w:style w:type="paragraph" w:styleId="Corpodetexto">
    <w:name w:val="Body Text"/>
    <w:basedOn w:val="Normal"/>
    <w:pPr>
      <w:ind w:right="2835"/>
    </w:pPr>
  </w:style>
  <w:style w:type="paragraph" w:customStyle="1" w:styleId="Textkrper21">
    <w:name w:val="Textkörper 21"/>
    <w:basedOn w:val="Normal"/>
  </w:style>
  <w:style w:type="paragraph" w:customStyle="1" w:styleId="Textkrper31">
    <w:name w:val="Textkörper 31"/>
    <w:basedOn w:val="Normal"/>
    <w:pPr>
      <w:jc w:val="both"/>
    </w:pPr>
  </w:style>
  <w:style w:type="paragraph" w:styleId="Corpodetexto2">
    <w:name w:val="Body Text 2"/>
    <w:basedOn w:val="Normal"/>
    <w:pPr>
      <w:tabs>
        <w:tab w:val="left" w:pos="2410"/>
      </w:tabs>
      <w:jc w:val="both"/>
    </w:pPr>
    <w:rPr>
      <w:b/>
      <w:sz w:val="32"/>
    </w:rPr>
  </w:style>
  <w:style w:type="paragraph" w:styleId="Corpodetexto3">
    <w:name w:val="Body Text 3"/>
    <w:basedOn w:val="Normal"/>
    <w:pPr>
      <w:jc w:val="both"/>
    </w:pPr>
    <w:rPr>
      <w:b/>
      <w:i/>
    </w:rPr>
  </w:style>
  <w:style w:type="paragraph" w:styleId="Legenda">
    <w:name w:val="caption"/>
    <w:basedOn w:val="Normal"/>
    <w:next w:val="Normal"/>
    <w:qFormat/>
    <w:rsid w:val="00F06CA2"/>
    <w:pPr>
      <w:spacing w:after="360"/>
    </w:pPr>
    <w:rPr>
      <w:b/>
    </w:rPr>
  </w:style>
  <w:style w:type="paragraph" w:styleId="Recuonormal">
    <w:name w:val="Normal Indent"/>
    <w:basedOn w:val="Normal"/>
    <w:pPr>
      <w:widowControl/>
      <w:ind w:left="709"/>
    </w:pPr>
  </w:style>
  <w:style w:type="paragraph" w:styleId="Textodebalo">
    <w:name w:val="Balloon Text"/>
    <w:basedOn w:val="Normal"/>
    <w:semiHidden/>
    <w:rsid w:val="006F1125"/>
    <w:rPr>
      <w:rFonts w:ascii="Tahoma" w:hAnsi="Tahoma" w:cs="Tahoma"/>
      <w:sz w:val="16"/>
      <w:szCs w:val="16"/>
    </w:rPr>
  </w:style>
  <w:style w:type="paragraph" w:styleId="SemEspaamento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tulo">
    <w:name w:val="Title"/>
    <w:aliases w:val="Title of image"/>
    <w:basedOn w:val="Normal"/>
    <w:next w:val="Normal"/>
    <w:link w:val="TtuloChar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tuloChar">
    <w:name w:val="Título Char"/>
    <w:aliases w:val="Title of image Char"/>
    <w:basedOn w:val="Fontepargpadro"/>
    <w:link w:val="Ttulo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Subttulo">
    <w:name w:val="Subtitle"/>
    <w:aliases w:val="Kontaktdaten"/>
    <w:basedOn w:val="Normal"/>
    <w:next w:val="Normal"/>
    <w:link w:val="SubttuloChar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SubttuloChar">
    <w:name w:val="Subtítulo Char"/>
    <w:aliases w:val="Kontaktdaten Char"/>
    <w:basedOn w:val="Fontepargpadro"/>
    <w:link w:val="Subttulo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customStyle="1" w:styleId="Kasten-trkis">
    <w:name w:val="Kasten - türkis"/>
    <w:basedOn w:val="Normal"/>
    <w:qFormat/>
    <w:rsid w:val="001B0CDC"/>
    <w:pPr>
      <w:pBdr>
        <w:top w:val="single" w:sz="12" w:space="5" w:color="00A0DC" w:themeColor="background2"/>
        <w:left w:val="single" w:sz="12" w:space="5" w:color="00A0DC" w:themeColor="background2"/>
        <w:bottom w:val="single" w:sz="12" w:space="5" w:color="00A0DC" w:themeColor="background2"/>
        <w:right w:val="single" w:sz="12" w:space="5" w:color="00A0DC" w:themeColor="background2"/>
      </w:pBd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464F87D9C8A4CA0CCC3C113D9AD53" ma:contentTypeVersion="0" ma:contentTypeDescription="Create a new document." ma:contentTypeScope="" ma:versionID="23f882344a6a05aa667fbf9402ce78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1f6cfebd38a7a99496a03fee888f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2B54EF-588E-4EAB-B144-22643DE56B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77C01E-C2E2-4E0D-82E8-60E555F1A2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E2E68C-816D-4E72-BA6E-0EFB4AB804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761</Words>
  <Characters>4114</Characters>
  <Application>Microsoft Office Word</Application>
  <DocSecurity>0</DocSecurity>
  <Lines>34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HOMAG Maschinenbau AG</Company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Julia Weber</dc:creator>
  <cp:lastModifiedBy>Rabuske, Marlise</cp:lastModifiedBy>
  <cp:revision>10</cp:revision>
  <cp:lastPrinted>2018-02-22T10:43:00Z</cp:lastPrinted>
  <dcterms:created xsi:type="dcterms:W3CDTF">2019-10-11T12:19:00Z</dcterms:created>
  <dcterms:modified xsi:type="dcterms:W3CDTF">2019-10-14T16:39:00Z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0x010100C2A464F87D9C8A4CA0CCC3C113D9AD53</vt:lpwstr>
  </property>
</Properties>
</file>